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A08707" w14:textId="76F1779A" w:rsidR="00487082" w:rsidRPr="006D01AD" w:rsidRDefault="00487082" w:rsidP="00487082">
      <w:pPr>
        <w:pStyle w:val="3GPPHeader"/>
        <w:spacing w:after="60"/>
        <w:rPr>
          <w:sz w:val="28"/>
          <w:szCs w:val="32"/>
          <w:highlight w:val="yellow"/>
        </w:rPr>
      </w:pPr>
      <w:r w:rsidRPr="006D01AD">
        <w:rPr>
          <w:sz w:val="22"/>
        </w:rPr>
        <w:t>3GPP TSG-RAN WG2</w:t>
      </w:r>
      <w:r w:rsidR="006D01AD" w:rsidRPr="006D01AD">
        <w:rPr>
          <w:sz w:val="22"/>
        </w:rPr>
        <w:t xml:space="preserve"> </w:t>
      </w:r>
      <w:r w:rsidRPr="006D01AD">
        <w:rPr>
          <w:sz w:val="22"/>
        </w:rPr>
        <w:t>NR AH1801</w:t>
      </w:r>
      <w:r w:rsidRPr="006D01AD">
        <w:rPr>
          <w:sz w:val="22"/>
        </w:rPr>
        <w:tab/>
      </w:r>
      <w:r w:rsidR="00021BFB" w:rsidRPr="006D01AD">
        <w:rPr>
          <w:szCs w:val="32"/>
        </w:rPr>
        <w:t>R2-1801010</w:t>
      </w:r>
    </w:p>
    <w:p w14:paraId="2069083D" w14:textId="619128DF" w:rsidR="00487082" w:rsidRPr="006D01AD" w:rsidRDefault="00487082" w:rsidP="00487082">
      <w:pPr>
        <w:pStyle w:val="3GPPHeader"/>
        <w:rPr>
          <w:sz w:val="22"/>
        </w:rPr>
      </w:pPr>
      <w:r w:rsidRPr="006D01AD">
        <w:rPr>
          <w:sz w:val="22"/>
        </w:rPr>
        <w:t>Vancouver, Canada, Jan 22</w:t>
      </w:r>
      <w:r w:rsidRPr="006D01AD">
        <w:rPr>
          <w:sz w:val="22"/>
          <w:vertAlign w:val="superscript"/>
        </w:rPr>
        <w:t>nd</w:t>
      </w:r>
      <w:r w:rsidRPr="006D01AD">
        <w:rPr>
          <w:sz w:val="22"/>
        </w:rPr>
        <w:t xml:space="preserve"> – 26</w:t>
      </w:r>
      <w:r w:rsidRPr="006D01AD">
        <w:rPr>
          <w:sz w:val="22"/>
          <w:vertAlign w:val="superscript"/>
        </w:rPr>
        <w:t>th</w:t>
      </w:r>
      <w:r w:rsidRPr="006D01AD">
        <w:rPr>
          <w:sz w:val="22"/>
        </w:rPr>
        <w:t>, 2018</w:t>
      </w:r>
      <w:r w:rsidRPr="006D01AD">
        <w:rPr>
          <w:sz w:val="22"/>
        </w:rPr>
        <w:tab/>
        <w:t>(</w:t>
      </w:r>
      <w:r w:rsidR="008709C1" w:rsidRPr="006D01AD">
        <w:rPr>
          <w:sz w:val="22"/>
        </w:rPr>
        <w:t>Resubmission</w:t>
      </w:r>
      <w:r w:rsidRPr="006D01AD">
        <w:rPr>
          <w:sz w:val="22"/>
        </w:rPr>
        <w:t xml:space="preserve"> </w:t>
      </w:r>
      <w:r w:rsidRPr="006D01AD">
        <w:rPr>
          <w:sz w:val="22"/>
          <w:szCs w:val="24"/>
        </w:rPr>
        <w:t xml:space="preserve">of </w:t>
      </w:r>
      <w:r w:rsidRPr="006D01AD">
        <w:rPr>
          <w:sz w:val="22"/>
          <w:szCs w:val="32"/>
        </w:rPr>
        <w:t>R2-1713389</w:t>
      </w:r>
      <w:r w:rsidRPr="006D01AD">
        <w:rPr>
          <w:sz w:val="22"/>
          <w:szCs w:val="24"/>
        </w:rPr>
        <w:t>)</w:t>
      </w:r>
    </w:p>
    <w:p w14:paraId="3B3DE2EE" w14:textId="77777777" w:rsidR="00D06E22" w:rsidRPr="00F64480" w:rsidRDefault="00D06E22" w:rsidP="00D06E22">
      <w:pPr>
        <w:pStyle w:val="3GPPHeader"/>
      </w:pPr>
    </w:p>
    <w:p w14:paraId="4A4F422A" w14:textId="3EFE0AE9" w:rsidR="00E90E49" w:rsidRPr="00181837" w:rsidRDefault="00E90E49" w:rsidP="00311702">
      <w:pPr>
        <w:pStyle w:val="3GPPHeader"/>
        <w:rPr>
          <w:sz w:val="22"/>
          <w:szCs w:val="22"/>
          <w:lang w:val="en-US"/>
        </w:rPr>
      </w:pPr>
      <w:r w:rsidRPr="002463CB">
        <w:rPr>
          <w:sz w:val="22"/>
          <w:szCs w:val="22"/>
          <w:lang w:val="en-US"/>
        </w:rPr>
        <w:t>Agenda Item:</w:t>
      </w:r>
      <w:r w:rsidRPr="002463CB">
        <w:rPr>
          <w:sz w:val="22"/>
          <w:szCs w:val="22"/>
          <w:lang w:val="en-US"/>
        </w:rPr>
        <w:tab/>
      </w:r>
      <w:r w:rsidR="00021BFB">
        <w:rPr>
          <w:sz w:val="22"/>
          <w:szCs w:val="22"/>
          <w:lang w:val="en-US"/>
        </w:rPr>
        <w:t>10.4.1.3.5</w:t>
      </w:r>
    </w:p>
    <w:p w14:paraId="5DAA27F0" w14:textId="77777777" w:rsidR="00E90E49" w:rsidRPr="00181837" w:rsidRDefault="003D3C45" w:rsidP="00F64C2B">
      <w:pPr>
        <w:pStyle w:val="3GPPHeader"/>
        <w:rPr>
          <w:sz w:val="22"/>
          <w:szCs w:val="22"/>
          <w:lang w:val="en-US"/>
        </w:rPr>
      </w:pPr>
      <w:r w:rsidRPr="00181837">
        <w:rPr>
          <w:sz w:val="22"/>
          <w:szCs w:val="22"/>
          <w:lang w:val="en-US"/>
        </w:rPr>
        <w:t>Source:</w:t>
      </w:r>
      <w:r w:rsidR="00E90E49" w:rsidRPr="00181837">
        <w:rPr>
          <w:sz w:val="22"/>
          <w:szCs w:val="22"/>
          <w:lang w:val="en-US"/>
        </w:rPr>
        <w:tab/>
      </w:r>
      <w:r w:rsidR="00F64C2B" w:rsidRPr="00181837">
        <w:rPr>
          <w:sz w:val="22"/>
          <w:szCs w:val="22"/>
          <w:lang w:val="en-US"/>
        </w:rPr>
        <w:t>Ericsson</w:t>
      </w:r>
    </w:p>
    <w:p w14:paraId="63CB047E" w14:textId="5F489FED" w:rsidR="00E90E49" w:rsidRPr="00181837" w:rsidRDefault="003D3C45" w:rsidP="00311702">
      <w:pPr>
        <w:pStyle w:val="3GPPHeader"/>
        <w:rPr>
          <w:sz w:val="22"/>
          <w:szCs w:val="22"/>
          <w:lang w:val="en-US"/>
        </w:rPr>
      </w:pPr>
      <w:r w:rsidRPr="00181837">
        <w:rPr>
          <w:sz w:val="22"/>
          <w:szCs w:val="22"/>
          <w:lang w:val="en-US"/>
        </w:rPr>
        <w:t>Title:</w:t>
      </w:r>
      <w:r w:rsidR="00E90E49" w:rsidRPr="00181837">
        <w:rPr>
          <w:sz w:val="22"/>
          <w:szCs w:val="22"/>
          <w:lang w:val="en-US"/>
        </w:rPr>
        <w:tab/>
      </w:r>
      <w:r w:rsidR="005E4FA2">
        <w:rPr>
          <w:sz w:val="22"/>
          <w:szCs w:val="22"/>
          <w:lang w:val="en-US"/>
        </w:rPr>
        <w:t>NR Re-establishment procedure</w:t>
      </w:r>
    </w:p>
    <w:p w14:paraId="7E783B99" w14:textId="77777777" w:rsidR="00E90E49" w:rsidRPr="00181837" w:rsidRDefault="00E90E49" w:rsidP="00D546FF">
      <w:pPr>
        <w:pStyle w:val="3GPPHeader"/>
        <w:rPr>
          <w:sz w:val="22"/>
          <w:szCs w:val="22"/>
          <w:lang w:val="en-US"/>
        </w:rPr>
      </w:pPr>
      <w:r w:rsidRPr="00181837">
        <w:rPr>
          <w:sz w:val="22"/>
          <w:szCs w:val="22"/>
          <w:lang w:val="en-US"/>
        </w:rPr>
        <w:t>Document for:</w:t>
      </w:r>
      <w:r w:rsidRPr="00181837">
        <w:rPr>
          <w:sz w:val="22"/>
          <w:szCs w:val="22"/>
          <w:lang w:val="en-US"/>
        </w:rPr>
        <w:tab/>
        <w:t>Discussion, Decision</w:t>
      </w:r>
    </w:p>
    <w:p w14:paraId="65935703" w14:textId="77777777" w:rsidR="00E90E49" w:rsidRPr="00181837" w:rsidRDefault="00E90E49" w:rsidP="00E90E49">
      <w:pPr>
        <w:rPr>
          <w:lang w:val="en-US"/>
        </w:rPr>
      </w:pPr>
    </w:p>
    <w:p w14:paraId="607E06CC" w14:textId="47CC3D2D" w:rsidR="00E90E49" w:rsidRDefault="00E90E49" w:rsidP="00CE0424">
      <w:pPr>
        <w:pStyle w:val="Heading1"/>
        <w:rPr>
          <w:lang w:val="en-US"/>
        </w:rPr>
      </w:pPr>
      <w:r w:rsidRPr="00181837">
        <w:rPr>
          <w:lang w:val="en-US"/>
        </w:rPr>
        <w:t>Introduction</w:t>
      </w:r>
      <w:bookmarkStart w:id="0" w:name="_GoBack"/>
      <w:bookmarkEnd w:id="0"/>
    </w:p>
    <w:p w14:paraId="15037982" w14:textId="3E5ACF28" w:rsidR="005E4FA2" w:rsidRDefault="005E4FA2" w:rsidP="00D27709">
      <w:pPr>
        <w:rPr>
          <w:lang w:val="en-US"/>
        </w:rPr>
      </w:pPr>
      <w:r>
        <w:rPr>
          <w:lang w:val="en-US"/>
        </w:rPr>
        <w:t xml:space="preserve">This paper analyses the LTE RRC re-establishment procedure and proposes enhancements that can be made for NR re-establishment. </w:t>
      </w:r>
    </w:p>
    <w:p w14:paraId="24B0AAE5" w14:textId="77777777" w:rsidR="005E4FA2" w:rsidRDefault="005E4FA2" w:rsidP="00D27709">
      <w:pPr>
        <w:rPr>
          <w:lang w:val="en-US"/>
        </w:rPr>
      </w:pPr>
    </w:p>
    <w:p w14:paraId="7C4DB953" w14:textId="77777777" w:rsidR="005E4FA2" w:rsidRDefault="005E4FA2" w:rsidP="00D27709">
      <w:pPr>
        <w:pStyle w:val="Heading1"/>
        <w:rPr>
          <w:lang w:val="en-US"/>
        </w:rPr>
      </w:pPr>
      <w:r>
        <w:rPr>
          <w:lang w:val="en-US"/>
        </w:rPr>
        <w:t>Need for RRC re-establishment</w:t>
      </w:r>
    </w:p>
    <w:p w14:paraId="7B567140" w14:textId="7315D072" w:rsidR="005E4FA2" w:rsidRDefault="005E4FA2" w:rsidP="002C6952">
      <w:pPr>
        <w:rPr>
          <w:lang w:val="en-US"/>
        </w:rPr>
      </w:pPr>
      <w:r>
        <w:rPr>
          <w:lang w:val="en-US"/>
        </w:rPr>
        <w:t xml:space="preserve">The purpose of the RRC re-establishment procedure is to quickly re-establish the network connection in case of various error conditions in the network e.g. </w:t>
      </w:r>
    </w:p>
    <w:p w14:paraId="26EAA911" w14:textId="6275BEEC" w:rsidR="005E4FA2" w:rsidRDefault="005E4FA2" w:rsidP="005E4FA2">
      <w:pPr>
        <w:pStyle w:val="ListParagraph"/>
        <w:numPr>
          <w:ilvl w:val="0"/>
          <w:numId w:val="21"/>
        </w:numPr>
      </w:pPr>
      <w:r>
        <w:t>Radio link failure</w:t>
      </w:r>
    </w:p>
    <w:p w14:paraId="5A2A5B78" w14:textId="7B43A00E" w:rsidR="000C14B4" w:rsidRDefault="000C14B4" w:rsidP="005E4FA2">
      <w:pPr>
        <w:pStyle w:val="ListParagraph"/>
        <w:numPr>
          <w:ilvl w:val="0"/>
          <w:numId w:val="21"/>
        </w:numPr>
      </w:pPr>
      <w:r>
        <w:t>Handover failure</w:t>
      </w:r>
    </w:p>
    <w:p w14:paraId="1C03DDFA" w14:textId="4F165E9D" w:rsidR="005E4FA2" w:rsidRDefault="000C14B4" w:rsidP="005E4FA2">
      <w:pPr>
        <w:pStyle w:val="ListParagraph"/>
        <w:numPr>
          <w:ilvl w:val="0"/>
          <w:numId w:val="21"/>
        </w:numPr>
      </w:pPr>
      <w:r>
        <w:t>Integrity check failure</w:t>
      </w:r>
    </w:p>
    <w:p w14:paraId="69F5C60E" w14:textId="5811DB8C" w:rsidR="005E4FA2" w:rsidRDefault="000C14B4" w:rsidP="000C14B4">
      <w:pPr>
        <w:pStyle w:val="ListParagraph"/>
        <w:numPr>
          <w:ilvl w:val="0"/>
          <w:numId w:val="21"/>
        </w:numPr>
      </w:pPr>
      <w:r>
        <w:t>RRC reconfigure failure</w:t>
      </w:r>
    </w:p>
    <w:p w14:paraId="4020753B" w14:textId="77777777" w:rsidR="000C14B4" w:rsidRDefault="000C14B4" w:rsidP="000C14B4">
      <w:pPr>
        <w:pStyle w:val="ListParagraph"/>
      </w:pPr>
    </w:p>
    <w:p w14:paraId="7E12F3DC" w14:textId="4E11DEE1" w:rsidR="005E4FA2" w:rsidRDefault="005E4FA2" w:rsidP="005E4FA2">
      <w:r>
        <w:t xml:space="preserve">From a </w:t>
      </w:r>
      <w:proofErr w:type="gramStart"/>
      <w:r>
        <w:t>high level</w:t>
      </w:r>
      <w:proofErr w:type="gramEnd"/>
      <w:r>
        <w:t xml:space="preserve"> point of view this procedure is not essential since it is also possible to re-establish the connection using NAS recovery</w:t>
      </w:r>
      <w:r w:rsidR="000C14B4">
        <w:t xml:space="preserve"> only</w:t>
      </w:r>
      <w:r>
        <w:t xml:space="preserve"> (at the price of longer interruption time, and packet losses). NAS recovery is also needed in the case the RRC re-establishment fails. </w:t>
      </w:r>
      <w:proofErr w:type="gramStart"/>
      <w:r>
        <w:t>Nevertheless</w:t>
      </w:r>
      <w:proofErr w:type="gramEnd"/>
      <w:r>
        <w:t xml:space="preserve"> RRC re-establishment was specified in LTE Rel-8 and it seems reasonable to also support it for NR.</w:t>
      </w:r>
    </w:p>
    <w:p w14:paraId="1EA04045" w14:textId="77777777" w:rsidR="000C14B4" w:rsidRDefault="000C14B4" w:rsidP="005E4FA2"/>
    <w:p w14:paraId="3F5A7FEF" w14:textId="690AE7BA" w:rsidR="005E4FA2" w:rsidRDefault="005E4FA2" w:rsidP="00F64480">
      <w:pPr>
        <w:pStyle w:val="Observation"/>
        <w:ind w:left="1560" w:hanging="1560"/>
      </w:pPr>
      <w:bookmarkStart w:id="1" w:name="_Toc497381158"/>
      <w:bookmarkStart w:id="2" w:name="_Toc498516057"/>
      <w:bookmarkStart w:id="3" w:name="_Toc498524710"/>
      <w:bookmarkStart w:id="4" w:name="_Toc498628326"/>
      <w:bookmarkStart w:id="5" w:name="_Toc498639079"/>
      <w:r>
        <w:t xml:space="preserve">RRC re-establishment is not an essential procedure. Even if it is specified NAS recovery is anyway </w:t>
      </w:r>
      <w:r w:rsidR="006F573B">
        <w:t xml:space="preserve">also </w:t>
      </w:r>
      <w:r>
        <w:t>needed</w:t>
      </w:r>
      <w:r w:rsidR="006F573B">
        <w:t xml:space="preserve"> to be specified</w:t>
      </w:r>
      <w:r>
        <w:t>. The benefit of RRC re-establishment over NAS recovery is less service interruption at failure and the possibility to avoid packet losses.</w:t>
      </w:r>
      <w:bookmarkEnd w:id="1"/>
      <w:bookmarkEnd w:id="2"/>
      <w:bookmarkEnd w:id="3"/>
      <w:bookmarkEnd w:id="4"/>
      <w:bookmarkEnd w:id="5"/>
    </w:p>
    <w:p w14:paraId="66539815" w14:textId="17460CDA" w:rsidR="005E4FA2" w:rsidRDefault="005E4FA2" w:rsidP="00F64480">
      <w:pPr>
        <w:pStyle w:val="Proposal"/>
        <w:tabs>
          <w:tab w:val="clear" w:pos="1701"/>
          <w:tab w:val="left" w:pos="1560"/>
        </w:tabs>
      </w:pPr>
      <w:bookmarkStart w:id="6" w:name="_Toc497380944"/>
      <w:bookmarkStart w:id="7" w:name="_Toc497381049"/>
      <w:bookmarkStart w:id="8" w:name="_Toc498628332"/>
      <w:bookmarkStart w:id="9" w:name="_Toc498639091"/>
      <w:bookmarkStart w:id="10" w:name="_Toc498516064"/>
      <w:bookmarkStart w:id="11" w:name="_Toc498516081"/>
      <w:bookmarkStart w:id="12" w:name="_Toc498524717"/>
      <w:r>
        <w:t>NR RRC re-establishment should be specified.</w:t>
      </w:r>
      <w:bookmarkEnd w:id="6"/>
      <w:bookmarkEnd w:id="7"/>
      <w:bookmarkEnd w:id="8"/>
      <w:bookmarkEnd w:id="9"/>
      <w:r>
        <w:t xml:space="preserve"> </w:t>
      </w:r>
      <w:bookmarkEnd w:id="10"/>
      <w:bookmarkEnd w:id="11"/>
      <w:bookmarkEnd w:id="12"/>
    </w:p>
    <w:p w14:paraId="6F150AEB" w14:textId="1589A86C" w:rsidR="005E4FA2" w:rsidRDefault="005E4FA2" w:rsidP="005E4FA2"/>
    <w:p w14:paraId="5D0EFB7E" w14:textId="52C2D74A" w:rsidR="005E4FA2" w:rsidRDefault="005E4FA2" w:rsidP="005E4FA2">
      <w:pPr>
        <w:pStyle w:val="Heading1"/>
      </w:pPr>
      <w:r>
        <w:t xml:space="preserve">Overview </w:t>
      </w:r>
      <w:r w:rsidR="00F64480">
        <w:t xml:space="preserve">of </w:t>
      </w:r>
      <w:r>
        <w:t>LTE re-establishment</w:t>
      </w:r>
    </w:p>
    <w:p w14:paraId="644433E6" w14:textId="77777777" w:rsidR="00D255F7" w:rsidRDefault="005E4FA2" w:rsidP="000C14B4">
      <w:pPr>
        <w:rPr>
          <w:noProof/>
        </w:rPr>
      </w:pPr>
      <w:r>
        <w:t xml:space="preserve">For LTE re-establishment the UE will </w:t>
      </w:r>
      <w:r w:rsidR="000C14B4">
        <w:t xml:space="preserve">upon initiation suspend all RBs except SRB0. The UE will then send the </w:t>
      </w:r>
      <w:proofErr w:type="spellStart"/>
      <w:r w:rsidR="000C14B4" w:rsidRPr="000C14B4">
        <w:rPr>
          <w:i/>
        </w:rPr>
        <w:t>RRCConnectionReestablishmentRequest</w:t>
      </w:r>
      <w:proofErr w:type="spellEnd"/>
      <w:r w:rsidR="000C14B4" w:rsidRPr="000C14B4">
        <w:rPr>
          <w:i/>
        </w:rPr>
        <w:t xml:space="preserve"> </w:t>
      </w:r>
      <w:r w:rsidR="000C14B4">
        <w:t xml:space="preserve">on SRB0. At this state they UE will either get back a </w:t>
      </w:r>
      <w:r w:rsidR="000C14B4" w:rsidRPr="00640076">
        <w:rPr>
          <w:i/>
          <w:noProof/>
        </w:rPr>
        <w:t>RRCConnectionReestablishment</w:t>
      </w:r>
      <w:r w:rsidR="000C14B4">
        <w:rPr>
          <w:i/>
          <w:noProof/>
        </w:rPr>
        <w:t xml:space="preserve"> on </w:t>
      </w:r>
      <w:r w:rsidR="000C14B4" w:rsidRPr="000C14B4">
        <w:rPr>
          <w:noProof/>
        </w:rPr>
        <w:t xml:space="preserve">SRB0 </w:t>
      </w:r>
      <w:r w:rsidR="000C14B4">
        <w:rPr>
          <w:noProof/>
        </w:rPr>
        <w:t xml:space="preserve">or a </w:t>
      </w:r>
      <w:r w:rsidR="000C14B4" w:rsidRPr="008A4266">
        <w:rPr>
          <w:i/>
          <w:noProof/>
        </w:rPr>
        <w:t>RRCConnectionReestablishmentReject</w:t>
      </w:r>
      <w:r w:rsidR="000C14B4">
        <w:rPr>
          <w:i/>
          <w:noProof/>
        </w:rPr>
        <w:t xml:space="preserve"> </w:t>
      </w:r>
      <w:r w:rsidR="000C14B4" w:rsidRPr="000C14B4">
        <w:rPr>
          <w:noProof/>
        </w:rPr>
        <w:t>on SRB0</w:t>
      </w:r>
      <w:r w:rsidR="000C14B4">
        <w:rPr>
          <w:noProof/>
        </w:rPr>
        <w:t xml:space="preserve">. </w:t>
      </w:r>
    </w:p>
    <w:p w14:paraId="07C4F05C" w14:textId="22B639AE" w:rsidR="000C14B4" w:rsidRDefault="000C14B4" w:rsidP="000C14B4">
      <w:pPr>
        <w:rPr>
          <w:i/>
          <w:noProof/>
        </w:rPr>
      </w:pPr>
      <w:r>
        <w:rPr>
          <w:noProof/>
        </w:rPr>
        <w:t xml:space="preserve">In case it gets back the </w:t>
      </w:r>
      <w:r w:rsidRPr="00640076">
        <w:rPr>
          <w:i/>
          <w:noProof/>
        </w:rPr>
        <w:t>RRCConnectionReestablishment</w:t>
      </w:r>
      <w:r>
        <w:rPr>
          <w:i/>
          <w:noProof/>
        </w:rPr>
        <w:t xml:space="preserve"> </w:t>
      </w:r>
      <w:r>
        <w:rPr>
          <w:noProof/>
        </w:rPr>
        <w:t xml:space="preserve">it will re-establish SRB1 and send the </w:t>
      </w:r>
      <w:r w:rsidRPr="000C14B4">
        <w:rPr>
          <w:i/>
          <w:noProof/>
        </w:rPr>
        <w:t>RRCConnectionReestablishmentComplete</w:t>
      </w:r>
      <w:r>
        <w:rPr>
          <w:i/>
          <w:noProof/>
        </w:rPr>
        <w:t xml:space="preserve"> </w:t>
      </w:r>
      <w:r w:rsidRPr="000C14B4">
        <w:rPr>
          <w:noProof/>
        </w:rPr>
        <w:t>on SRB1</w:t>
      </w:r>
      <w:r>
        <w:rPr>
          <w:noProof/>
        </w:rPr>
        <w:t xml:space="preserve">. According to 36.331 the network is not allowed to start sending DL messages on SRB1 until it receives the </w:t>
      </w:r>
      <w:r w:rsidRPr="000C14B4">
        <w:rPr>
          <w:i/>
          <w:noProof/>
        </w:rPr>
        <w:t>RRCConnectionReestablishmentComplete</w:t>
      </w:r>
      <w:r>
        <w:rPr>
          <w:i/>
          <w:noProof/>
        </w:rPr>
        <w:t>.</w:t>
      </w:r>
    </w:p>
    <w:p w14:paraId="65732E83" w14:textId="7856FDAD" w:rsidR="00D255F7" w:rsidRDefault="00D255F7" w:rsidP="000C14B4">
      <w:pPr>
        <w:rPr>
          <w:i/>
          <w:noProof/>
        </w:rPr>
      </w:pPr>
    </w:p>
    <w:p w14:paraId="50916609" w14:textId="08A4B2FB" w:rsidR="00D255F7" w:rsidRDefault="00D255F7" w:rsidP="00D255F7">
      <w:pPr>
        <w:rPr>
          <w:noProof/>
        </w:rPr>
      </w:pPr>
      <w:r>
        <w:rPr>
          <w:noProof/>
        </w:rPr>
        <w:lastRenderedPageBreak/>
        <w:t xml:space="preserve">In case it gets back the </w:t>
      </w:r>
      <w:r w:rsidRPr="008A4266">
        <w:rPr>
          <w:i/>
          <w:noProof/>
        </w:rPr>
        <w:t>RRCConnectionReestablishmentReject</w:t>
      </w:r>
      <w:r>
        <w:rPr>
          <w:i/>
          <w:noProof/>
        </w:rPr>
        <w:t xml:space="preserve"> </w:t>
      </w:r>
      <w:r>
        <w:rPr>
          <w:noProof/>
        </w:rPr>
        <w:t xml:space="preserve">the UE will perform actions upon leaving RRC connected state and inform NAS layer about RRC connection failure. This will trigger the NAS layer to perform recovery which includes a new RRC connection setup. </w:t>
      </w:r>
    </w:p>
    <w:bookmarkStart w:id="13" w:name="_MON_1267947476"/>
    <w:bookmarkEnd w:id="13"/>
    <w:bookmarkStart w:id="14" w:name="_MON_1289914521"/>
    <w:bookmarkEnd w:id="14"/>
    <w:p w14:paraId="371B88E6" w14:textId="77777777" w:rsidR="00636C25" w:rsidRPr="004E1F03" w:rsidRDefault="00636C25" w:rsidP="00636C25">
      <w:pPr>
        <w:pStyle w:val="TH"/>
      </w:pPr>
      <w:r w:rsidRPr="004E1F03">
        <w:object w:dxaOrig="6854" w:dyaOrig="3434" w14:anchorId="3337AE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161pt" o:ole="">
            <v:imagedata r:id="rId12" o:title=""/>
          </v:shape>
          <o:OLEObject Type="Embed" ProgID="Word.Picture.8" ShapeID="_x0000_i1025" DrawAspect="Content" ObjectID="_1577226892" r:id="rId13"/>
        </w:object>
      </w:r>
    </w:p>
    <w:p w14:paraId="365FAA69" w14:textId="77777777" w:rsidR="00636C25" w:rsidRPr="004E1F03" w:rsidRDefault="00636C25" w:rsidP="00636C25">
      <w:pPr>
        <w:pStyle w:val="TF"/>
      </w:pPr>
      <w:r w:rsidRPr="004E1F03">
        <w:t>Figure 5.3.7.1-1: RRC connection re-establishment, successful</w:t>
      </w:r>
    </w:p>
    <w:bookmarkStart w:id="15" w:name="_MON_1267947623"/>
    <w:bookmarkEnd w:id="15"/>
    <w:bookmarkStart w:id="16" w:name="_MON_1289914522"/>
    <w:bookmarkEnd w:id="16"/>
    <w:p w14:paraId="0F19433B" w14:textId="77777777" w:rsidR="00636C25" w:rsidRPr="004E1F03" w:rsidRDefault="00636C25" w:rsidP="00636C25">
      <w:pPr>
        <w:pStyle w:val="TH"/>
      </w:pPr>
      <w:r w:rsidRPr="004E1F03">
        <w:object w:dxaOrig="6854" w:dyaOrig="2489" w14:anchorId="7A1FF589">
          <v:shape id="_x0000_i1026" type="#_x0000_t75" style="width:318pt;height:115.5pt" o:ole="">
            <v:imagedata r:id="rId14" o:title=""/>
          </v:shape>
          <o:OLEObject Type="Embed" ProgID="Word.Picture.8" ShapeID="_x0000_i1026" DrawAspect="Content" ObjectID="_1577226893" r:id="rId15"/>
        </w:object>
      </w:r>
    </w:p>
    <w:p w14:paraId="5734F40A" w14:textId="77777777" w:rsidR="00636C25" w:rsidRPr="004E1F03" w:rsidRDefault="00636C25" w:rsidP="00636C25">
      <w:pPr>
        <w:pStyle w:val="TF"/>
      </w:pPr>
      <w:r w:rsidRPr="004E1F03">
        <w:t>Figure 5.3.7.1-2: RRC connection re-establishment, failure</w:t>
      </w:r>
    </w:p>
    <w:p w14:paraId="0F3D35C4" w14:textId="57246726" w:rsidR="00D255F7" w:rsidRDefault="00D255F7" w:rsidP="00D255F7">
      <w:pPr>
        <w:rPr>
          <w:noProof/>
        </w:rPr>
      </w:pPr>
      <w:r>
        <w:rPr>
          <w:noProof/>
        </w:rPr>
        <w:t>As can be seen from the description above there is some potential areas in which the LTE re-establishment procedure can be further optimized</w:t>
      </w:r>
      <w:r w:rsidR="00636C25">
        <w:rPr>
          <w:noProof/>
        </w:rPr>
        <w:t xml:space="preserve"> by reusing concepts defined in Rel-13 RRC suspend/resume</w:t>
      </w:r>
      <w:r>
        <w:rPr>
          <w:noProof/>
        </w:rPr>
        <w:t xml:space="preserve">: </w:t>
      </w:r>
    </w:p>
    <w:p w14:paraId="60957ADB" w14:textId="5C84DC59" w:rsidR="00D255F7" w:rsidRDefault="00D255F7" w:rsidP="00D255F7">
      <w:pPr>
        <w:pStyle w:val="ListParagraph"/>
        <w:numPr>
          <w:ilvl w:val="0"/>
          <w:numId w:val="21"/>
        </w:numPr>
        <w:rPr>
          <w:noProof/>
        </w:rPr>
      </w:pPr>
      <w:r>
        <w:rPr>
          <w:noProof/>
        </w:rPr>
        <w:t xml:space="preserve">There is no fundamental reason why </w:t>
      </w:r>
      <w:r w:rsidR="00636C25">
        <w:rPr>
          <w:noProof/>
        </w:rPr>
        <w:t>the UE cannot re-establish PDCP for SRB1 and resume SRB1 in the DL before submitting MSG3 to lower layers. This would make it</w:t>
      </w:r>
      <w:r>
        <w:rPr>
          <w:noProof/>
        </w:rPr>
        <w:t xml:space="preserve"> possible to use SRB1 for</w:t>
      </w:r>
      <w:r w:rsidR="006F573B">
        <w:rPr>
          <w:noProof/>
        </w:rPr>
        <w:t xml:space="preserve"> MSG4 instead of SRB0</w:t>
      </w:r>
      <w:r>
        <w:rPr>
          <w:noProof/>
        </w:rPr>
        <w:t xml:space="preserve">, which would </w:t>
      </w:r>
      <w:r w:rsidR="00636C25">
        <w:rPr>
          <w:noProof/>
        </w:rPr>
        <w:t xml:space="preserve">in turn </w:t>
      </w:r>
      <w:r>
        <w:rPr>
          <w:noProof/>
        </w:rPr>
        <w:t>make it possible to send subsequent RRC reconfiguration message in conjunction with MSG4 or directly after instead of waiting for the UE response in MSG5.</w:t>
      </w:r>
      <w:r w:rsidR="00636C25">
        <w:rPr>
          <w:noProof/>
        </w:rPr>
        <w:t xml:space="preserve"> Which would save a rountrip in the re-establishment of DRBs. </w:t>
      </w:r>
    </w:p>
    <w:p w14:paraId="78E8A188" w14:textId="29540F4B" w:rsidR="00636C25" w:rsidRDefault="00636C25" w:rsidP="00636C25">
      <w:pPr>
        <w:pStyle w:val="ListParagraph"/>
        <w:numPr>
          <w:ilvl w:val="0"/>
          <w:numId w:val="21"/>
        </w:numPr>
        <w:rPr>
          <w:noProof/>
        </w:rPr>
      </w:pPr>
      <w:r>
        <w:rPr>
          <w:noProof/>
        </w:rPr>
        <w:t>It would also be possible to support faster NA</w:t>
      </w:r>
      <w:r w:rsidR="00216BB3">
        <w:rPr>
          <w:noProof/>
        </w:rPr>
        <w:t>S</w:t>
      </w:r>
      <w:r>
        <w:rPr>
          <w:noProof/>
        </w:rPr>
        <w:t xml:space="preserve"> recovery in the RAN </w:t>
      </w:r>
      <w:r w:rsidR="00216BB3">
        <w:rPr>
          <w:noProof/>
        </w:rPr>
        <w:t xml:space="preserve">in the case the RAN </w:t>
      </w:r>
      <w:r>
        <w:rPr>
          <w:noProof/>
        </w:rPr>
        <w:t xml:space="preserve">is not able to </w:t>
      </w:r>
      <w:r w:rsidR="00216BB3">
        <w:rPr>
          <w:noProof/>
        </w:rPr>
        <w:t>re-establish</w:t>
      </w:r>
      <w:r>
        <w:rPr>
          <w:noProof/>
        </w:rPr>
        <w:t xml:space="preserve"> the UE context. This could be done by instead of sending an Re-establishment Reject message on SRB0 </w:t>
      </w:r>
      <w:r w:rsidR="00C931FF">
        <w:rPr>
          <w:noProof/>
        </w:rPr>
        <w:t xml:space="preserve">which will cause the UE to transition via IDLE and perform a new RACH, </w:t>
      </w:r>
      <w:r>
        <w:rPr>
          <w:noProof/>
        </w:rPr>
        <w:t xml:space="preserve">the network sends an RRC connection setup message on SRB0 and the normal RRC connection setup follows after that. </w:t>
      </w:r>
    </w:p>
    <w:p w14:paraId="74A654F9" w14:textId="32328E4A" w:rsidR="00636C25" w:rsidRDefault="00636C25" w:rsidP="00636C25">
      <w:pPr>
        <w:rPr>
          <w:noProof/>
        </w:rPr>
      </w:pPr>
    </w:p>
    <w:p w14:paraId="588985AC" w14:textId="702A79FC" w:rsidR="00CC0F71" w:rsidRDefault="00CC0F71" w:rsidP="00636C25">
      <w:pPr>
        <w:rPr>
          <w:noProof/>
        </w:rPr>
      </w:pPr>
      <w:r>
        <w:rPr>
          <w:noProof/>
        </w:rPr>
        <w:t>Some observations:</w:t>
      </w:r>
    </w:p>
    <w:p w14:paraId="2896AF4F" w14:textId="36B988BC" w:rsidR="00CC0F71" w:rsidRDefault="00CC0F71" w:rsidP="00F64480">
      <w:pPr>
        <w:pStyle w:val="Observation"/>
        <w:ind w:left="1418" w:hanging="1418"/>
        <w:rPr>
          <w:noProof/>
        </w:rPr>
      </w:pPr>
      <w:bookmarkStart w:id="17" w:name="_Toc497381159"/>
      <w:bookmarkStart w:id="18" w:name="_Toc498516058"/>
      <w:bookmarkStart w:id="19" w:name="_Toc498524711"/>
      <w:bookmarkStart w:id="20" w:name="_Toc498628327"/>
      <w:bookmarkStart w:id="21" w:name="_Toc498639080"/>
      <w:r>
        <w:rPr>
          <w:noProof/>
        </w:rPr>
        <w:t>It is possible to optimize the re-establishment procedure for NR compared to LTE by using SRB1 for the re-establishment message which potentially reduces the procedure to re-establish DRBs by one round-trip</w:t>
      </w:r>
      <w:r w:rsidR="00FC5B85">
        <w:rPr>
          <w:noProof/>
        </w:rPr>
        <w:t xml:space="preserve"> since the following RRC reconfiguration message does not need to wait for the response to the re-establishment message</w:t>
      </w:r>
      <w:r>
        <w:rPr>
          <w:noProof/>
        </w:rPr>
        <w:t>.</w:t>
      </w:r>
      <w:bookmarkEnd w:id="17"/>
      <w:bookmarkEnd w:id="18"/>
      <w:bookmarkEnd w:id="19"/>
      <w:bookmarkEnd w:id="20"/>
      <w:bookmarkEnd w:id="21"/>
    </w:p>
    <w:p w14:paraId="2136B00D" w14:textId="1D95471E" w:rsidR="00CC0F71" w:rsidRDefault="00CC0F71" w:rsidP="00F64480">
      <w:pPr>
        <w:pStyle w:val="Observation"/>
        <w:ind w:left="1418" w:hanging="1418"/>
        <w:rPr>
          <w:noProof/>
        </w:rPr>
      </w:pPr>
      <w:bookmarkStart w:id="22" w:name="_Toc497381160"/>
      <w:bookmarkStart w:id="23" w:name="_Toc498516059"/>
      <w:bookmarkStart w:id="24" w:name="_Toc498524712"/>
      <w:bookmarkStart w:id="25" w:name="_Toc498628328"/>
      <w:bookmarkStart w:id="26" w:name="_Toc498639081"/>
      <w:r>
        <w:rPr>
          <w:noProof/>
        </w:rPr>
        <w:t>It is possible to optimize the re-establishment failure procedure by supporting immediate NAS recovery on the same RRC connection. E.g. sendign RRC connection setup in MSG4, which avoids an extra random access procedure.</w:t>
      </w:r>
      <w:bookmarkEnd w:id="22"/>
      <w:bookmarkEnd w:id="23"/>
      <w:bookmarkEnd w:id="24"/>
      <w:bookmarkEnd w:id="25"/>
      <w:bookmarkEnd w:id="26"/>
      <w:r>
        <w:rPr>
          <w:noProof/>
        </w:rPr>
        <w:t xml:space="preserve"> </w:t>
      </w:r>
    </w:p>
    <w:p w14:paraId="581101CF" w14:textId="71CCD823" w:rsidR="00CC0F71" w:rsidRDefault="00CC0F71" w:rsidP="00F64480">
      <w:pPr>
        <w:pStyle w:val="Proposal"/>
        <w:tabs>
          <w:tab w:val="clear" w:pos="1701"/>
          <w:tab w:val="left" w:pos="1418"/>
        </w:tabs>
        <w:ind w:left="1418" w:hanging="1418"/>
        <w:rPr>
          <w:noProof/>
        </w:rPr>
      </w:pPr>
      <w:bookmarkStart w:id="27" w:name="_Toc497380945"/>
      <w:bookmarkStart w:id="28" w:name="_Toc497381050"/>
      <w:bookmarkStart w:id="29" w:name="_Toc498516065"/>
      <w:bookmarkStart w:id="30" w:name="_Toc498516082"/>
      <w:bookmarkStart w:id="31" w:name="_Toc498524718"/>
      <w:bookmarkStart w:id="32" w:name="_Toc498628333"/>
      <w:bookmarkStart w:id="33" w:name="_Toc498639092"/>
      <w:r>
        <w:rPr>
          <w:noProof/>
        </w:rPr>
        <w:t xml:space="preserve">It should be discussed in RAN2 if enhancements to the NR </w:t>
      </w:r>
      <w:r w:rsidR="00636C25">
        <w:rPr>
          <w:noProof/>
        </w:rPr>
        <w:t xml:space="preserve">RRC re-establishment procedure </w:t>
      </w:r>
      <w:r>
        <w:rPr>
          <w:noProof/>
        </w:rPr>
        <w:t xml:space="preserve">compared to LTE should be considered given that this </w:t>
      </w:r>
      <w:r w:rsidR="00636C25">
        <w:rPr>
          <w:noProof/>
        </w:rPr>
        <w:t xml:space="preserve">procedure </w:t>
      </w:r>
      <w:r>
        <w:rPr>
          <w:noProof/>
        </w:rPr>
        <w:t xml:space="preserve">is </w:t>
      </w:r>
      <w:r w:rsidR="00636C25">
        <w:rPr>
          <w:noProof/>
        </w:rPr>
        <w:t>only executed at a failure scenario, which hopefully should be quite rare</w:t>
      </w:r>
      <w:bookmarkEnd w:id="27"/>
      <w:bookmarkEnd w:id="28"/>
      <w:bookmarkEnd w:id="29"/>
      <w:bookmarkEnd w:id="30"/>
      <w:bookmarkEnd w:id="31"/>
      <w:bookmarkEnd w:id="32"/>
      <w:bookmarkEnd w:id="33"/>
      <w:r w:rsidR="00636C25">
        <w:rPr>
          <w:noProof/>
        </w:rPr>
        <w:t xml:space="preserve"> </w:t>
      </w:r>
    </w:p>
    <w:p w14:paraId="5C8D9643" w14:textId="13C6E829" w:rsidR="00CC0F71" w:rsidRDefault="00CC0F71" w:rsidP="00CC0F71">
      <w:pPr>
        <w:pStyle w:val="Proposal"/>
        <w:rPr>
          <w:noProof/>
        </w:rPr>
      </w:pPr>
      <w:bookmarkStart w:id="34" w:name="_Toc497381051"/>
      <w:bookmarkStart w:id="35" w:name="_Toc498516066"/>
      <w:bookmarkStart w:id="36" w:name="_Toc498516083"/>
      <w:bookmarkStart w:id="37" w:name="_Toc498524719"/>
      <w:bookmarkStart w:id="38" w:name="_Toc498628334"/>
      <w:bookmarkStart w:id="39" w:name="_Toc498639093"/>
      <w:bookmarkStart w:id="40" w:name="_Toc497380946"/>
      <w:r>
        <w:rPr>
          <w:noProof/>
        </w:rPr>
        <w:lastRenderedPageBreak/>
        <w:t>Assuming it is agreed to enhance the NR RRC re-establishment</w:t>
      </w:r>
      <w:r w:rsidR="00F64480">
        <w:rPr>
          <w:noProof/>
        </w:rPr>
        <w:t>,</w:t>
      </w:r>
      <w:r>
        <w:rPr>
          <w:noProof/>
        </w:rPr>
        <w:t xml:space="preserve"> this should be done by</w:t>
      </w:r>
      <w:bookmarkEnd w:id="34"/>
      <w:bookmarkEnd w:id="35"/>
      <w:bookmarkEnd w:id="36"/>
      <w:bookmarkEnd w:id="37"/>
      <w:bookmarkEnd w:id="38"/>
      <w:r w:rsidR="00F64480">
        <w:rPr>
          <w:noProof/>
        </w:rPr>
        <w:t>:</w:t>
      </w:r>
      <w:bookmarkEnd w:id="39"/>
      <w:r>
        <w:rPr>
          <w:noProof/>
        </w:rPr>
        <w:t xml:space="preserve"> </w:t>
      </w:r>
    </w:p>
    <w:p w14:paraId="5A8CA0D0" w14:textId="7CE5E2A9" w:rsidR="00CC0F71" w:rsidRDefault="00CC0F71" w:rsidP="00F64480">
      <w:pPr>
        <w:pStyle w:val="Proposal"/>
        <w:numPr>
          <w:ilvl w:val="1"/>
          <w:numId w:val="3"/>
        </w:numPr>
        <w:ind w:firstLine="687"/>
        <w:rPr>
          <w:noProof/>
        </w:rPr>
      </w:pPr>
      <w:bookmarkStart w:id="41" w:name="_Toc497381052"/>
      <w:bookmarkStart w:id="42" w:name="_Toc498516067"/>
      <w:bookmarkStart w:id="43" w:name="_Toc498516084"/>
      <w:bookmarkStart w:id="44" w:name="_Toc498524720"/>
      <w:bookmarkStart w:id="45" w:name="_Toc498628335"/>
      <w:bookmarkStart w:id="46" w:name="_Toc498639094"/>
      <w:r>
        <w:rPr>
          <w:noProof/>
        </w:rPr>
        <w:t>Sending the re-establishment message on SRB1</w:t>
      </w:r>
      <w:bookmarkEnd w:id="40"/>
      <w:bookmarkEnd w:id="41"/>
      <w:bookmarkEnd w:id="42"/>
      <w:bookmarkEnd w:id="43"/>
      <w:bookmarkEnd w:id="44"/>
      <w:bookmarkEnd w:id="45"/>
      <w:bookmarkEnd w:id="46"/>
    </w:p>
    <w:p w14:paraId="3912A139" w14:textId="3929AFD5" w:rsidR="00CC0F71" w:rsidRDefault="00CC0F71" w:rsidP="00F64480">
      <w:pPr>
        <w:pStyle w:val="Proposal"/>
        <w:numPr>
          <w:ilvl w:val="1"/>
          <w:numId w:val="3"/>
        </w:numPr>
        <w:tabs>
          <w:tab w:val="clear" w:pos="1440"/>
          <w:tab w:val="num" w:pos="1985"/>
        </w:tabs>
        <w:ind w:left="2835" w:hanging="708"/>
        <w:rPr>
          <w:noProof/>
        </w:rPr>
      </w:pPr>
      <w:bookmarkStart w:id="47" w:name="_Toc497381053"/>
      <w:bookmarkStart w:id="48" w:name="_Toc498516068"/>
      <w:bookmarkStart w:id="49" w:name="_Toc498516085"/>
      <w:bookmarkStart w:id="50" w:name="_Toc498524721"/>
      <w:bookmarkStart w:id="51" w:name="_Toc498628336"/>
      <w:bookmarkStart w:id="52" w:name="_Toc498639095"/>
      <w:r>
        <w:rPr>
          <w:noProof/>
        </w:rPr>
        <w:t>Support immediate NAS recovery (RRC connection setup) in case of RRC re-establishment failure</w:t>
      </w:r>
      <w:bookmarkEnd w:id="47"/>
      <w:bookmarkEnd w:id="48"/>
      <w:bookmarkEnd w:id="49"/>
      <w:bookmarkEnd w:id="50"/>
      <w:bookmarkEnd w:id="51"/>
      <w:bookmarkEnd w:id="52"/>
    </w:p>
    <w:p w14:paraId="6B665614" w14:textId="143613FA" w:rsidR="00DE0C2E" w:rsidRDefault="009A0663" w:rsidP="009A0663">
      <w:pPr>
        <w:pStyle w:val="Heading1"/>
      </w:pPr>
      <w:r>
        <w:t>Discussion on f</w:t>
      </w:r>
      <w:r w:rsidR="00FC5B85">
        <w:t>urther enhancements</w:t>
      </w:r>
    </w:p>
    <w:p w14:paraId="679CA495" w14:textId="3C6A8472" w:rsidR="006D48B9" w:rsidRDefault="00FC5B85" w:rsidP="00DE0C2E">
      <w:r>
        <w:t xml:space="preserve">In some contributions it has been proposed to merge the </w:t>
      </w:r>
      <w:bookmarkStart w:id="53" w:name="_Hlk498515785"/>
      <w:r>
        <w:t>RRC resume and re-establishment procedure</w:t>
      </w:r>
      <w:bookmarkEnd w:id="53"/>
      <w:r>
        <w:t xml:space="preserve">. </w:t>
      </w:r>
      <w:r w:rsidR="006D48B9">
        <w:t>Exactly what would be the impact of this is not completely clear but since there is a strong desire to encrypt MSG4 for RRC resume</w:t>
      </w:r>
      <w:r w:rsidR="00EC22B6">
        <w:t xml:space="preserve"> which can contain sensitive information</w:t>
      </w:r>
      <w:r w:rsidR="006D48B9">
        <w:t xml:space="preserve"> it is assume that if these procedure</w:t>
      </w:r>
      <w:r w:rsidR="00EC22B6">
        <w:t>s are</w:t>
      </w:r>
      <w:r w:rsidR="006D48B9">
        <w:t xml:space="preserve"> harmonized MSG4 need to be encrypted in both cases. </w:t>
      </w:r>
    </w:p>
    <w:p w14:paraId="55E1E89C" w14:textId="414B7659" w:rsidR="006D48B9" w:rsidRDefault="006D48B9" w:rsidP="00F64480">
      <w:pPr>
        <w:pStyle w:val="Observation"/>
        <w:ind w:left="1701" w:hanging="1701"/>
      </w:pPr>
      <w:bookmarkStart w:id="54" w:name="_Toc498516060"/>
      <w:bookmarkStart w:id="55" w:name="_Toc498524713"/>
      <w:bookmarkStart w:id="56" w:name="_Toc498628329"/>
      <w:bookmarkStart w:id="57" w:name="_Toc498639082"/>
      <w:r>
        <w:t>If RRC resume and re-establishment procedure should be harmonized this would mean that MSG4 should be encrypted also at re-establishment.</w:t>
      </w:r>
      <w:bookmarkEnd w:id="54"/>
      <w:bookmarkEnd w:id="55"/>
      <w:bookmarkEnd w:id="56"/>
      <w:bookmarkEnd w:id="57"/>
    </w:p>
    <w:p w14:paraId="7299D943" w14:textId="4C822AA9" w:rsidR="009A0663" w:rsidRDefault="006D48B9" w:rsidP="00F64480">
      <w:pPr>
        <w:pStyle w:val="Observation"/>
        <w:ind w:left="1701" w:hanging="1701"/>
      </w:pPr>
      <w:bookmarkStart w:id="58" w:name="_Toc498516061"/>
      <w:bookmarkStart w:id="59" w:name="_Toc498524714"/>
      <w:bookmarkStart w:id="60" w:name="_Toc498628330"/>
      <w:bookmarkStart w:id="61" w:name="_Toc498639083"/>
      <w:proofErr w:type="gramStart"/>
      <w:r>
        <w:t>In order to</w:t>
      </w:r>
      <w:proofErr w:type="gramEnd"/>
      <w:r>
        <w:t xml:space="preserve"> enable encrypted MSG4 at re-establishment it is no longer possible as in LTE to provide the NCC in MSG4</w:t>
      </w:r>
      <w:r w:rsidR="00EC22B6">
        <w:t xml:space="preserve"> (since NCC is used in key derivation)</w:t>
      </w:r>
      <w:r>
        <w:t>.</w:t>
      </w:r>
      <w:bookmarkEnd w:id="58"/>
      <w:r>
        <w:t xml:space="preserve"> </w:t>
      </w:r>
      <w:bookmarkStart w:id="62" w:name="_Toc498516062"/>
      <w:r w:rsidR="005C6BED">
        <w:t xml:space="preserve">Meaning </w:t>
      </w:r>
      <w:r>
        <w:t xml:space="preserve">NCC need to be provided to the UE </w:t>
      </w:r>
      <w:r w:rsidR="009A0663">
        <w:t xml:space="preserve">in source cell </w:t>
      </w:r>
      <w:r>
        <w:t>prior to re-establishment</w:t>
      </w:r>
      <w:r w:rsidR="009A0663">
        <w:t>.</w:t>
      </w:r>
      <w:bookmarkEnd w:id="59"/>
      <w:bookmarkEnd w:id="60"/>
      <w:bookmarkEnd w:id="61"/>
      <w:bookmarkEnd w:id="62"/>
    </w:p>
    <w:p w14:paraId="76BBF4B2" w14:textId="45DA0BB2" w:rsidR="00F62C50" w:rsidRDefault="009A0663" w:rsidP="00DE0C2E">
      <w:r>
        <w:t xml:space="preserve">The problem with providing the NCC prior to </w:t>
      </w:r>
      <w:r w:rsidR="00EC22B6">
        <w:t>the re-establishment is that a new</w:t>
      </w:r>
      <w:r>
        <w:t xml:space="preserve"> NCC </w:t>
      </w:r>
      <w:r w:rsidR="00EC22B6">
        <w:t xml:space="preserve">value </w:t>
      </w:r>
      <w:r>
        <w:t>is provided to the RAN during the path switch</w:t>
      </w:r>
      <w:r w:rsidR="00C931FF">
        <w:t xml:space="preserve"> (after the handover)</w:t>
      </w:r>
      <w:r>
        <w:t xml:space="preserve"> meaning a new procedure would be needed </w:t>
      </w:r>
      <w:r w:rsidR="00EC22B6">
        <w:t xml:space="preserve">after every </w:t>
      </w:r>
      <w:proofErr w:type="spellStart"/>
      <w:r w:rsidR="00EC22B6">
        <w:t>Xn</w:t>
      </w:r>
      <w:proofErr w:type="spellEnd"/>
      <w:r w:rsidR="00EC22B6">
        <w:t xml:space="preserve"> handover </w:t>
      </w:r>
      <w:r>
        <w:t xml:space="preserve">to provide the UE with the </w:t>
      </w:r>
      <w:r w:rsidR="00EC22B6">
        <w:t xml:space="preserve">new </w:t>
      </w:r>
      <w:r>
        <w:t>NCC</w:t>
      </w:r>
      <w:r w:rsidR="00EC22B6">
        <w:t xml:space="preserve"> to be used in case of re-establishment</w:t>
      </w:r>
      <w:r>
        <w:t xml:space="preserve">. This is illustrated below using LTE MeNB handover as an example. </w:t>
      </w:r>
    </w:p>
    <w:p w14:paraId="74CE5EDC" w14:textId="6E6194BC" w:rsidR="0098278C" w:rsidRDefault="0098278C" w:rsidP="00DE0C2E">
      <w:r>
        <w:object w:dxaOrig="12496" w:dyaOrig="6990" w14:anchorId="65CE352A">
          <v:shape id="_x0000_i1027" type="#_x0000_t75" style="width:481.95pt;height:269.2pt" o:ole="">
            <v:imagedata r:id="rId16" o:title=""/>
          </v:shape>
          <o:OLEObject Type="Embed" ProgID="Visio.Drawing.15" ShapeID="_x0000_i1027" DrawAspect="Content" ObjectID="_1577226894" r:id="rId17"/>
        </w:object>
      </w:r>
    </w:p>
    <w:p w14:paraId="68C14C26" w14:textId="55CB7365" w:rsidR="009A0663" w:rsidRDefault="009A0663" w:rsidP="00F64480">
      <w:pPr>
        <w:pStyle w:val="Observation"/>
        <w:ind w:left="1701" w:hanging="1701"/>
      </w:pPr>
      <w:bookmarkStart w:id="63" w:name="_Toc498516063"/>
      <w:bookmarkStart w:id="64" w:name="_Toc498524715"/>
      <w:bookmarkStart w:id="65" w:name="_Toc498628331"/>
      <w:bookmarkStart w:id="66" w:name="_Toc498639084"/>
      <w:r>
        <w:t>Providing the NCC to the UE prior to RRC re-establishment adds complexity and does not provide any significant performance benefits compared to the enhancements proposed in proposal 3 where the RRC re-configuration can be send immediately after re-establishment message.</w:t>
      </w:r>
      <w:bookmarkEnd w:id="63"/>
      <w:bookmarkEnd w:id="64"/>
      <w:bookmarkEnd w:id="65"/>
      <w:bookmarkEnd w:id="66"/>
    </w:p>
    <w:p w14:paraId="3093D287" w14:textId="010D5C83" w:rsidR="009A0663" w:rsidRDefault="009A0663" w:rsidP="009A0663">
      <w:pPr>
        <w:pStyle w:val="Proposal"/>
      </w:pPr>
      <w:bookmarkStart w:id="67" w:name="_Toc498516069"/>
      <w:bookmarkStart w:id="68" w:name="_Toc498516086"/>
      <w:bookmarkStart w:id="69" w:name="_Toc498524722"/>
      <w:bookmarkStart w:id="70" w:name="_Toc498628337"/>
      <w:bookmarkStart w:id="71" w:name="_Toc498639096"/>
      <w:r>
        <w:t xml:space="preserve">The NCC shall be provided in RRC re-establishment message </w:t>
      </w:r>
      <w:r w:rsidR="00C669A9">
        <w:t xml:space="preserve">in the target cell </w:t>
      </w:r>
      <w:r>
        <w:t>which is sent integrity protected and unencrypted on SRB1.</w:t>
      </w:r>
      <w:bookmarkEnd w:id="67"/>
      <w:bookmarkEnd w:id="68"/>
      <w:bookmarkEnd w:id="69"/>
      <w:bookmarkEnd w:id="70"/>
      <w:bookmarkEnd w:id="71"/>
    </w:p>
    <w:p w14:paraId="04DDD43F" w14:textId="47A93A0A" w:rsidR="008A45DF" w:rsidRDefault="00E36FD3" w:rsidP="008A45DF">
      <w:pPr>
        <w:pStyle w:val="Heading1"/>
        <w:rPr>
          <w:lang w:val="en-US"/>
        </w:rPr>
      </w:pPr>
      <w:bookmarkStart w:id="72" w:name="_Ref473901911"/>
      <w:r>
        <w:rPr>
          <w:lang w:val="en-US"/>
        </w:rPr>
        <w:t>Conclusion</w:t>
      </w:r>
    </w:p>
    <w:p w14:paraId="422467E0" w14:textId="19304E3E" w:rsidR="000B6D5D" w:rsidRPr="000B6D5D" w:rsidRDefault="000B6D5D" w:rsidP="000B6D5D">
      <w:pPr>
        <w:rPr>
          <w:lang w:val="en-US"/>
        </w:rPr>
      </w:pPr>
      <w:r>
        <w:rPr>
          <w:lang w:val="en-US"/>
        </w:rPr>
        <w:t>The following observation</w:t>
      </w:r>
      <w:r w:rsidR="006D01AD">
        <w:rPr>
          <w:lang w:val="en-US"/>
        </w:rPr>
        <w:t>s</w:t>
      </w:r>
      <w:r>
        <w:rPr>
          <w:lang w:val="en-US"/>
        </w:rPr>
        <w:t xml:space="preserve"> are made:</w:t>
      </w:r>
    </w:p>
    <w:p w14:paraId="58B7EF4C" w14:textId="77777777" w:rsidR="00F64480" w:rsidRDefault="000B6D5D">
      <w:pPr>
        <w:pStyle w:val="TOC1"/>
        <w:rPr>
          <w:rFonts w:asciiTheme="minorHAnsi" w:eastAsiaTheme="minorEastAsia" w:hAnsiTheme="minorHAnsi" w:cstheme="minorBidi"/>
          <w:b w:val="0"/>
          <w:sz w:val="22"/>
          <w:lang w:eastAsia="en-US"/>
        </w:rPr>
      </w:pPr>
      <w:r>
        <w:rPr>
          <w:b w:val="0"/>
        </w:rPr>
        <w:lastRenderedPageBreak/>
        <w:fldChar w:fldCharType="begin"/>
      </w:r>
      <w:r>
        <w:rPr>
          <w:b w:val="0"/>
        </w:rPr>
        <w:instrText xml:space="preserve"> TOC \n \p " " \t "Observation;1" </w:instrText>
      </w:r>
      <w:r>
        <w:rPr>
          <w:b w:val="0"/>
        </w:rPr>
        <w:fldChar w:fldCharType="separate"/>
      </w:r>
      <w:r w:rsidR="00F64480">
        <w:t>Observation 1</w:t>
      </w:r>
      <w:r w:rsidR="00F64480">
        <w:rPr>
          <w:rFonts w:asciiTheme="minorHAnsi" w:eastAsiaTheme="minorEastAsia" w:hAnsiTheme="minorHAnsi" w:cstheme="minorBidi"/>
          <w:b w:val="0"/>
          <w:sz w:val="22"/>
          <w:lang w:eastAsia="en-US"/>
        </w:rPr>
        <w:tab/>
      </w:r>
      <w:r w:rsidR="00F64480">
        <w:t>RRC re-establishment is not an essential procedure. Even if it is specified NAS recovery is anyway also needed to be specified. The benefit of RRC re-establishment over NAS recovery is less service interruption at failure and the possibility to avoid packet losses.</w:t>
      </w:r>
    </w:p>
    <w:p w14:paraId="236427AE" w14:textId="77777777" w:rsidR="00F64480" w:rsidRDefault="00F64480">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It is possible to optimize the re-establishment procedure for NR compared to LTE by using SRB1 for the re-establishment message which potentially reduces the procedure to re-establish DRBs by one round-trip since the following RRC reconfiguration message does not need to wait for the response to the re-establishment message.</w:t>
      </w:r>
    </w:p>
    <w:p w14:paraId="5452F55B" w14:textId="77777777" w:rsidR="00F64480" w:rsidRDefault="00F64480">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It is possible to optimize the re-establishment failure procedure by supporting immediate NAS recovery on the same RRC connection. E.g. sendign RRC connection setup in MSG4, which avoids an extra random access procedure.</w:t>
      </w:r>
    </w:p>
    <w:p w14:paraId="0D9B9847" w14:textId="77777777" w:rsidR="00F64480" w:rsidRDefault="00F64480">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If RRC resume and re-establishment procedure should be harmonized this would mean that MSG4 should be encrypted also at re-establishment.</w:t>
      </w:r>
    </w:p>
    <w:p w14:paraId="252D84B5" w14:textId="77777777" w:rsidR="00F64480" w:rsidRDefault="00F64480">
      <w:pPr>
        <w:pStyle w:val="TOC1"/>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t>In order to enable encrypted MSG4 at re-establishment it is no longer possible as in LTE to provide the NCC in MSG4 (since NCC is used in key derivation). Meaning NCC need to be provided to the UE in source cell prior to re-establishment.</w:t>
      </w:r>
    </w:p>
    <w:p w14:paraId="5E48CDF9" w14:textId="77777777" w:rsidR="00F64480" w:rsidRDefault="00F64480">
      <w:pPr>
        <w:pStyle w:val="TOC1"/>
        <w:rPr>
          <w:rFonts w:asciiTheme="minorHAnsi" w:eastAsiaTheme="minorEastAsia" w:hAnsiTheme="minorHAnsi" w:cstheme="minorBidi"/>
          <w:b w:val="0"/>
          <w:sz w:val="22"/>
          <w:lang w:eastAsia="en-US"/>
        </w:rPr>
      </w:pPr>
      <w:r>
        <w:t>Observation 6</w:t>
      </w:r>
      <w:r>
        <w:rPr>
          <w:rFonts w:asciiTheme="minorHAnsi" w:eastAsiaTheme="minorEastAsia" w:hAnsiTheme="minorHAnsi" w:cstheme="minorBidi"/>
          <w:b w:val="0"/>
          <w:sz w:val="22"/>
          <w:lang w:eastAsia="en-US"/>
        </w:rPr>
        <w:tab/>
      </w:r>
      <w:r>
        <w:t>Providing the NCC to the UE prior to RRC re-establishment adds complexity and does not provide any significant performance benefits compared to the enhancements proposed in proposal 3 where the RRC re-configuration can be send immediately after re-establishment message.</w:t>
      </w:r>
    </w:p>
    <w:p w14:paraId="6C4041FE" w14:textId="0EBBE11E" w:rsidR="002D48A3" w:rsidRDefault="000B6D5D" w:rsidP="00CC0F71">
      <w:pPr>
        <w:rPr>
          <w:b/>
          <w:noProof/>
          <w:szCs w:val="22"/>
          <w:lang w:val="en-US"/>
        </w:rPr>
      </w:pPr>
      <w:r>
        <w:rPr>
          <w:b/>
          <w:noProof/>
          <w:szCs w:val="22"/>
          <w:lang w:val="en-US"/>
        </w:rPr>
        <w:fldChar w:fldCharType="end"/>
      </w:r>
    </w:p>
    <w:p w14:paraId="3AB2EC7F" w14:textId="34D8624F" w:rsidR="00CC0F71" w:rsidRPr="000B6D5D" w:rsidRDefault="000B6D5D" w:rsidP="00CC0F71">
      <w:pPr>
        <w:rPr>
          <w:noProof/>
          <w:szCs w:val="22"/>
          <w:lang w:val="en-US"/>
        </w:rPr>
      </w:pPr>
      <w:r>
        <w:rPr>
          <w:noProof/>
          <w:szCs w:val="22"/>
          <w:lang w:val="en-US"/>
        </w:rPr>
        <w:t>Resulting in the following proposals:</w:t>
      </w:r>
    </w:p>
    <w:p w14:paraId="6055E40A" w14:textId="77777777" w:rsidR="00F64480" w:rsidRDefault="00E36FD3">
      <w:pPr>
        <w:pStyle w:val="TOC1"/>
        <w:rPr>
          <w:rFonts w:asciiTheme="minorHAnsi" w:eastAsiaTheme="minorEastAsia" w:hAnsiTheme="minorHAnsi" w:cstheme="minorBidi"/>
          <w:b w:val="0"/>
          <w:sz w:val="22"/>
          <w:lang w:eastAsia="en-US"/>
        </w:rPr>
      </w:pPr>
      <w:r w:rsidRPr="007F0D74">
        <w:rPr>
          <w:rFonts w:cs="Arial"/>
          <w:b w:val="0"/>
          <w:bCs/>
        </w:rPr>
        <w:fldChar w:fldCharType="begin"/>
      </w:r>
      <w:r w:rsidRPr="00FE3EAB">
        <w:rPr>
          <w:rFonts w:cs="Arial"/>
          <w:bCs/>
        </w:rPr>
        <w:instrText xml:space="preserve"> TOC \f \n \p " " \t "Proposal;1" </w:instrText>
      </w:r>
      <w:r w:rsidRPr="007F0D74">
        <w:rPr>
          <w:rFonts w:cs="Arial"/>
          <w:b w:val="0"/>
          <w:bCs/>
        </w:rPr>
        <w:fldChar w:fldCharType="separate"/>
      </w:r>
      <w:r w:rsidR="00F64480">
        <w:t>Proposal 1</w:t>
      </w:r>
      <w:r w:rsidR="00F64480">
        <w:rPr>
          <w:rFonts w:asciiTheme="minorHAnsi" w:eastAsiaTheme="minorEastAsia" w:hAnsiTheme="minorHAnsi" w:cstheme="minorBidi"/>
          <w:b w:val="0"/>
          <w:sz w:val="22"/>
          <w:lang w:eastAsia="en-US"/>
        </w:rPr>
        <w:tab/>
      </w:r>
      <w:r w:rsidR="00F64480">
        <w:t>NR RRC re-establishment should be specified.</w:t>
      </w:r>
    </w:p>
    <w:p w14:paraId="5A1A31F7" w14:textId="77777777" w:rsidR="00F64480" w:rsidRDefault="00F64480">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It should be discussed in RAN2 if enhancements to the NR RRC re-establishment procedure compared to LTE should be considered given that this procedure is only executed at a failure scenario, which hopefully should be quite rare</w:t>
      </w:r>
    </w:p>
    <w:p w14:paraId="39FBC4DF" w14:textId="77777777" w:rsidR="00F64480" w:rsidRDefault="00F64480">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Assuming it is agreed to enhance the NR RRC re-establishment, this should be done by:</w:t>
      </w:r>
    </w:p>
    <w:p w14:paraId="0ABC6752" w14:textId="77777777" w:rsidR="00F64480" w:rsidRDefault="00F64480" w:rsidP="00F64480">
      <w:pPr>
        <w:pStyle w:val="TOC1"/>
        <w:ind w:firstLine="284"/>
        <w:rPr>
          <w:rFonts w:asciiTheme="minorHAnsi" w:eastAsiaTheme="minorEastAsia" w:hAnsiTheme="minorHAnsi" w:cstheme="minorBidi"/>
          <w:b w:val="0"/>
          <w:sz w:val="22"/>
          <w:lang w:eastAsia="en-US"/>
        </w:rPr>
      </w:pPr>
      <w:r>
        <w:t>a.</w:t>
      </w:r>
      <w:r>
        <w:rPr>
          <w:rFonts w:asciiTheme="minorHAnsi" w:eastAsiaTheme="minorEastAsia" w:hAnsiTheme="minorHAnsi" w:cstheme="minorBidi"/>
          <w:b w:val="0"/>
          <w:sz w:val="22"/>
          <w:lang w:eastAsia="en-US"/>
        </w:rPr>
        <w:tab/>
      </w:r>
      <w:r>
        <w:t>Sending the re-establishment message on SRB1</w:t>
      </w:r>
    </w:p>
    <w:p w14:paraId="78D47320" w14:textId="77777777" w:rsidR="00F64480" w:rsidRDefault="00F64480" w:rsidP="00F64480">
      <w:pPr>
        <w:pStyle w:val="TOC1"/>
        <w:tabs>
          <w:tab w:val="clear" w:pos="1701"/>
          <w:tab w:val="left" w:pos="2127"/>
        </w:tabs>
        <w:ind w:left="2268" w:hanging="283"/>
        <w:rPr>
          <w:rFonts w:asciiTheme="minorHAnsi" w:eastAsiaTheme="minorEastAsia" w:hAnsiTheme="minorHAnsi" w:cstheme="minorBidi"/>
          <w:b w:val="0"/>
          <w:sz w:val="22"/>
          <w:lang w:eastAsia="en-US"/>
        </w:rPr>
      </w:pPr>
      <w:r>
        <w:t>b.</w:t>
      </w:r>
      <w:r>
        <w:rPr>
          <w:rFonts w:asciiTheme="minorHAnsi" w:eastAsiaTheme="minorEastAsia" w:hAnsiTheme="minorHAnsi" w:cstheme="minorBidi"/>
          <w:b w:val="0"/>
          <w:sz w:val="22"/>
          <w:lang w:eastAsia="en-US"/>
        </w:rPr>
        <w:tab/>
      </w:r>
      <w:r>
        <w:t>Support immediate NAS recovery (RRC connection setup) in case of RRC re-establishment failure</w:t>
      </w:r>
    </w:p>
    <w:p w14:paraId="095197A0" w14:textId="77777777" w:rsidR="00F64480" w:rsidRDefault="00F64480">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The NCC shall be provided in RRC re-establishment message in the target cell which is sent integrity protected and unencrypted on SRB1.</w:t>
      </w:r>
    </w:p>
    <w:p w14:paraId="337D225A" w14:textId="700DE6A3" w:rsidR="00E36FD3" w:rsidRPr="00E36FD3" w:rsidRDefault="00E36FD3" w:rsidP="00E36FD3">
      <w:pPr>
        <w:rPr>
          <w:lang w:val="en-US"/>
        </w:rPr>
      </w:pPr>
      <w:r w:rsidRPr="007F0D74">
        <w:rPr>
          <w:rFonts w:cs="Arial"/>
          <w:b/>
          <w:bCs/>
        </w:rPr>
        <w:fldChar w:fldCharType="end"/>
      </w:r>
      <w:bookmarkEnd w:id="72"/>
    </w:p>
    <w:sectPr w:rsidR="00E36FD3" w:rsidRPr="00E36FD3">
      <w:headerReference w:type="even" r:id="rId18"/>
      <w:headerReference w:type="default"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CD9491" w14:textId="77777777" w:rsidR="00E81248" w:rsidRDefault="00E81248">
      <w:r>
        <w:separator/>
      </w:r>
    </w:p>
  </w:endnote>
  <w:endnote w:type="continuationSeparator" w:id="0">
    <w:p w14:paraId="60CABE48" w14:textId="77777777" w:rsidR="00E81248" w:rsidRDefault="00E81248">
      <w:r>
        <w:continuationSeparator/>
      </w:r>
    </w:p>
  </w:endnote>
  <w:endnote w:type="continuationNotice" w:id="1">
    <w:p w14:paraId="666776AD" w14:textId="77777777" w:rsidR="00E81248" w:rsidRDefault="00E812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1AA76217" w:rsidR="00E11615" w:rsidRDefault="00E116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90A61">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90A6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ED4850" w14:textId="77777777" w:rsidR="00E81248" w:rsidRDefault="00E81248">
      <w:r>
        <w:separator/>
      </w:r>
    </w:p>
  </w:footnote>
  <w:footnote w:type="continuationSeparator" w:id="0">
    <w:p w14:paraId="221262C9" w14:textId="77777777" w:rsidR="00E81248" w:rsidRDefault="00E81248">
      <w:r>
        <w:continuationSeparator/>
      </w:r>
    </w:p>
  </w:footnote>
  <w:footnote w:type="continuationNotice" w:id="1">
    <w:p w14:paraId="486ED59B" w14:textId="77777777" w:rsidR="00E81248" w:rsidRDefault="00E812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E11615" w:rsidRDefault="00E1161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01C156" w14:textId="77777777" w:rsidR="00E11615" w:rsidRDefault="00E116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1148"/>
        </w:tabs>
        <w:ind w:left="1148"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E697410"/>
    <w:multiLevelType w:val="hybridMultilevel"/>
    <w:tmpl w:val="1AA0BB4C"/>
    <w:lvl w:ilvl="0" w:tplc="5CA2080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996225"/>
    <w:multiLevelType w:val="hybridMultilevel"/>
    <w:tmpl w:val="E59EA514"/>
    <w:lvl w:ilvl="0" w:tplc="F60A90D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490F4A"/>
    <w:multiLevelType w:val="hybridMultilevel"/>
    <w:tmpl w:val="2C8C6910"/>
    <w:lvl w:ilvl="0" w:tplc="91C80F96">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F583078"/>
    <w:multiLevelType w:val="hybridMultilevel"/>
    <w:tmpl w:val="EAB6EC1E"/>
    <w:lvl w:ilvl="0" w:tplc="0230661E">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942130"/>
    <w:multiLevelType w:val="hybridMultilevel"/>
    <w:tmpl w:val="72C8E4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65842"/>
    <w:multiLevelType w:val="hybridMultilevel"/>
    <w:tmpl w:val="A8F2C284"/>
    <w:lvl w:ilvl="0" w:tplc="9A5E862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63A17660"/>
    <w:multiLevelType w:val="hybridMultilevel"/>
    <w:tmpl w:val="BB38CA14"/>
    <w:lvl w:ilvl="0" w:tplc="D1CE5498">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9A2BD1"/>
    <w:multiLevelType w:val="hybridMultilevel"/>
    <w:tmpl w:val="B7362C78"/>
    <w:lvl w:ilvl="0" w:tplc="D95E970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4"/>
  </w:num>
  <w:num w:numId="3">
    <w:abstractNumId w:val="10"/>
  </w:num>
  <w:num w:numId="4">
    <w:abstractNumId w:val="12"/>
  </w:num>
  <w:num w:numId="5">
    <w:abstractNumId w:val="7"/>
  </w:num>
  <w:num w:numId="6">
    <w:abstractNumId w:val="13"/>
  </w:num>
  <w:num w:numId="7">
    <w:abstractNumId w:val="17"/>
  </w:num>
  <w:num w:numId="8">
    <w:abstractNumId w:val="8"/>
  </w:num>
  <w:num w:numId="9">
    <w:abstractNumId w:val="15"/>
  </w:num>
  <w:num w:numId="10">
    <w:abstractNumId w:val="9"/>
  </w:num>
  <w:num w:numId="11">
    <w:abstractNumId w:val="18"/>
  </w:num>
  <w:num w:numId="12">
    <w:abstractNumId w:val="16"/>
  </w:num>
  <w:num w:numId="13">
    <w:abstractNumId w:val="3"/>
  </w:num>
  <w:num w:numId="14">
    <w:abstractNumId w:val="5"/>
  </w:num>
  <w:num w:numId="15">
    <w:abstractNumId w:val="19"/>
  </w:num>
  <w:num w:numId="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4"/>
  </w:num>
  <w:num w:numId="18">
    <w:abstractNumId w:val="6"/>
  </w:num>
  <w:num w:numId="19">
    <w:abstractNumId w:val="20"/>
  </w:num>
  <w:num w:numId="20">
    <w:abstractNumId w:val="2"/>
  </w:num>
  <w:num w:numId="21">
    <w:abstractNumId w:val="11"/>
  </w:num>
  <w:num w:numId="22">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740"/>
    <w:rsid w:val="00007CDC"/>
    <w:rsid w:val="00011B28"/>
    <w:rsid w:val="000126C2"/>
    <w:rsid w:val="00015CFB"/>
    <w:rsid w:val="00015D15"/>
    <w:rsid w:val="00021BFB"/>
    <w:rsid w:val="0002564D"/>
    <w:rsid w:val="00025ECA"/>
    <w:rsid w:val="00027939"/>
    <w:rsid w:val="00030849"/>
    <w:rsid w:val="000325B8"/>
    <w:rsid w:val="00034C15"/>
    <w:rsid w:val="00036BA1"/>
    <w:rsid w:val="000422E2"/>
    <w:rsid w:val="00042F22"/>
    <w:rsid w:val="000444EF"/>
    <w:rsid w:val="00050FFE"/>
    <w:rsid w:val="00052A07"/>
    <w:rsid w:val="000534E3"/>
    <w:rsid w:val="0005395D"/>
    <w:rsid w:val="00053993"/>
    <w:rsid w:val="0005606A"/>
    <w:rsid w:val="00057117"/>
    <w:rsid w:val="000616E7"/>
    <w:rsid w:val="0006487E"/>
    <w:rsid w:val="00065E1A"/>
    <w:rsid w:val="00077E5F"/>
    <w:rsid w:val="0008036A"/>
    <w:rsid w:val="00081AE6"/>
    <w:rsid w:val="000855EB"/>
    <w:rsid w:val="00085B52"/>
    <w:rsid w:val="000866F2"/>
    <w:rsid w:val="0009009F"/>
    <w:rsid w:val="00090DCE"/>
    <w:rsid w:val="00091557"/>
    <w:rsid w:val="000924C1"/>
    <w:rsid w:val="000924F0"/>
    <w:rsid w:val="00093474"/>
    <w:rsid w:val="0009510F"/>
    <w:rsid w:val="000A1B7B"/>
    <w:rsid w:val="000A2DF0"/>
    <w:rsid w:val="000A56F2"/>
    <w:rsid w:val="000B2719"/>
    <w:rsid w:val="000B3A8F"/>
    <w:rsid w:val="000B4AB9"/>
    <w:rsid w:val="000B58C3"/>
    <w:rsid w:val="000B61E9"/>
    <w:rsid w:val="000B6A2F"/>
    <w:rsid w:val="000B6D5D"/>
    <w:rsid w:val="000C14B4"/>
    <w:rsid w:val="000C165A"/>
    <w:rsid w:val="000C28EB"/>
    <w:rsid w:val="000C2E19"/>
    <w:rsid w:val="000C4973"/>
    <w:rsid w:val="000D0D07"/>
    <w:rsid w:val="000D10C0"/>
    <w:rsid w:val="000D21B3"/>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5D8E"/>
    <w:rsid w:val="00116765"/>
    <w:rsid w:val="00116830"/>
    <w:rsid w:val="001219F5"/>
    <w:rsid w:val="00121A20"/>
    <w:rsid w:val="00122F2E"/>
    <w:rsid w:val="0012377F"/>
    <w:rsid w:val="00124314"/>
    <w:rsid w:val="00126B4A"/>
    <w:rsid w:val="00132FD0"/>
    <w:rsid w:val="001344C0"/>
    <w:rsid w:val="001346FA"/>
    <w:rsid w:val="00135252"/>
    <w:rsid w:val="00137AB5"/>
    <w:rsid w:val="00137F0B"/>
    <w:rsid w:val="00142C16"/>
    <w:rsid w:val="0014376A"/>
    <w:rsid w:val="00151E23"/>
    <w:rsid w:val="001526E0"/>
    <w:rsid w:val="001551B5"/>
    <w:rsid w:val="001643A8"/>
    <w:rsid w:val="001659C1"/>
    <w:rsid w:val="00173A8E"/>
    <w:rsid w:val="00177795"/>
    <w:rsid w:val="0018143F"/>
    <w:rsid w:val="00181837"/>
    <w:rsid w:val="00190AC1"/>
    <w:rsid w:val="00191A2D"/>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6BB3"/>
    <w:rsid w:val="00220600"/>
    <w:rsid w:val="00222314"/>
    <w:rsid w:val="002224DB"/>
    <w:rsid w:val="00223FCB"/>
    <w:rsid w:val="002252C3"/>
    <w:rsid w:val="00225C54"/>
    <w:rsid w:val="00230765"/>
    <w:rsid w:val="002309A1"/>
    <w:rsid w:val="002319E4"/>
    <w:rsid w:val="00235632"/>
    <w:rsid w:val="00235872"/>
    <w:rsid w:val="00241559"/>
    <w:rsid w:val="002435B3"/>
    <w:rsid w:val="002458EB"/>
    <w:rsid w:val="002463CB"/>
    <w:rsid w:val="002500C8"/>
    <w:rsid w:val="0025686E"/>
    <w:rsid w:val="00257543"/>
    <w:rsid w:val="002617E7"/>
    <w:rsid w:val="00261FC8"/>
    <w:rsid w:val="00262251"/>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71"/>
    <w:rsid w:val="002907B5"/>
    <w:rsid w:val="00291A75"/>
    <w:rsid w:val="00292EB7"/>
    <w:rsid w:val="00296227"/>
    <w:rsid w:val="00296F44"/>
    <w:rsid w:val="0029777D"/>
    <w:rsid w:val="002A055E"/>
    <w:rsid w:val="002A1D4E"/>
    <w:rsid w:val="002A2869"/>
    <w:rsid w:val="002B24D6"/>
    <w:rsid w:val="002C41E6"/>
    <w:rsid w:val="002C6952"/>
    <w:rsid w:val="002D071A"/>
    <w:rsid w:val="002D232F"/>
    <w:rsid w:val="002D34B2"/>
    <w:rsid w:val="002D48A3"/>
    <w:rsid w:val="002D58A5"/>
    <w:rsid w:val="002D7637"/>
    <w:rsid w:val="002E17F2"/>
    <w:rsid w:val="002E7CAE"/>
    <w:rsid w:val="002F2771"/>
    <w:rsid w:val="002F37A9"/>
    <w:rsid w:val="00301CE6"/>
    <w:rsid w:val="0030256B"/>
    <w:rsid w:val="0030501F"/>
    <w:rsid w:val="00305F0A"/>
    <w:rsid w:val="00307BA1"/>
    <w:rsid w:val="00311702"/>
    <w:rsid w:val="00311E82"/>
    <w:rsid w:val="00313FD6"/>
    <w:rsid w:val="003143BD"/>
    <w:rsid w:val="00317B01"/>
    <w:rsid w:val="003203ED"/>
    <w:rsid w:val="00322C9F"/>
    <w:rsid w:val="00324D23"/>
    <w:rsid w:val="00331751"/>
    <w:rsid w:val="00334579"/>
    <w:rsid w:val="00335858"/>
    <w:rsid w:val="003367E4"/>
    <w:rsid w:val="00336BDA"/>
    <w:rsid w:val="00342BD7"/>
    <w:rsid w:val="00343A07"/>
    <w:rsid w:val="00346DB5"/>
    <w:rsid w:val="00347092"/>
    <w:rsid w:val="003472B4"/>
    <w:rsid w:val="003477B1"/>
    <w:rsid w:val="00352C0E"/>
    <w:rsid w:val="0035482C"/>
    <w:rsid w:val="00357380"/>
    <w:rsid w:val="003602D9"/>
    <w:rsid w:val="003604CE"/>
    <w:rsid w:val="00360D47"/>
    <w:rsid w:val="00370E47"/>
    <w:rsid w:val="003742AC"/>
    <w:rsid w:val="00377CE1"/>
    <w:rsid w:val="00383CB8"/>
    <w:rsid w:val="00385BF0"/>
    <w:rsid w:val="003939FF"/>
    <w:rsid w:val="003A17C9"/>
    <w:rsid w:val="003A2223"/>
    <w:rsid w:val="003A2A0F"/>
    <w:rsid w:val="003A45A1"/>
    <w:rsid w:val="003A5B0A"/>
    <w:rsid w:val="003A6BAC"/>
    <w:rsid w:val="003A7EF3"/>
    <w:rsid w:val="003B159C"/>
    <w:rsid w:val="003B2539"/>
    <w:rsid w:val="003B369F"/>
    <w:rsid w:val="003B36A3"/>
    <w:rsid w:val="003B371E"/>
    <w:rsid w:val="003B7FE5"/>
    <w:rsid w:val="003C11C8"/>
    <w:rsid w:val="003C2702"/>
    <w:rsid w:val="003C7806"/>
    <w:rsid w:val="003D109F"/>
    <w:rsid w:val="003D2478"/>
    <w:rsid w:val="003D2FC4"/>
    <w:rsid w:val="003D3C45"/>
    <w:rsid w:val="003D4D94"/>
    <w:rsid w:val="003D5B1F"/>
    <w:rsid w:val="003E15FA"/>
    <w:rsid w:val="003E2C96"/>
    <w:rsid w:val="003E55E4"/>
    <w:rsid w:val="003E74E3"/>
    <w:rsid w:val="003E7D1F"/>
    <w:rsid w:val="003F05C7"/>
    <w:rsid w:val="003F2CD4"/>
    <w:rsid w:val="003F6BBE"/>
    <w:rsid w:val="004000E8"/>
    <w:rsid w:val="00400B1D"/>
    <w:rsid w:val="00402E2B"/>
    <w:rsid w:val="0040512B"/>
    <w:rsid w:val="00405CA5"/>
    <w:rsid w:val="00407CD3"/>
    <w:rsid w:val="00410134"/>
    <w:rsid w:val="00410B72"/>
    <w:rsid w:val="00410F18"/>
    <w:rsid w:val="0041263E"/>
    <w:rsid w:val="00413AAC"/>
    <w:rsid w:val="00421105"/>
    <w:rsid w:val="00422289"/>
    <w:rsid w:val="004242F4"/>
    <w:rsid w:val="004269D5"/>
    <w:rsid w:val="00427248"/>
    <w:rsid w:val="00435CFB"/>
    <w:rsid w:val="00437447"/>
    <w:rsid w:val="00441A92"/>
    <w:rsid w:val="00444F56"/>
    <w:rsid w:val="00446488"/>
    <w:rsid w:val="0044648C"/>
    <w:rsid w:val="00447B5B"/>
    <w:rsid w:val="004517AA"/>
    <w:rsid w:val="00452CAC"/>
    <w:rsid w:val="00453A5C"/>
    <w:rsid w:val="0045417F"/>
    <w:rsid w:val="00457565"/>
    <w:rsid w:val="00457B71"/>
    <w:rsid w:val="00465F3A"/>
    <w:rsid w:val="004669E2"/>
    <w:rsid w:val="00470C31"/>
    <w:rsid w:val="00472C20"/>
    <w:rsid w:val="004734D0"/>
    <w:rsid w:val="0047556B"/>
    <w:rsid w:val="00477768"/>
    <w:rsid w:val="00485BFA"/>
    <w:rsid w:val="00487082"/>
    <w:rsid w:val="00490A61"/>
    <w:rsid w:val="00492BC5"/>
    <w:rsid w:val="004964F1"/>
    <w:rsid w:val="004A16BC"/>
    <w:rsid w:val="004A1C76"/>
    <w:rsid w:val="004A2B94"/>
    <w:rsid w:val="004B7C0C"/>
    <w:rsid w:val="004C3898"/>
    <w:rsid w:val="004C3F74"/>
    <w:rsid w:val="004D36B1"/>
    <w:rsid w:val="004D6B83"/>
    <w:rsid w:val="004D7EBD"/>
    <w:rsid w:val="004E2680"/>
    <w:rsid w:val="004E28F9"/>
    <w:rsid w:val="004E462E"/>
    <w:rsid w:val="004E56DC"/>
    <w:rsid w:val="004E76F4"/>
    <w:rsid w:val="004F0B4E"/>
    <w:rsid w:val="004F0B6C"/>
    <w:rsid w:val="004F2078"/>
    <w:rsid w:val="004F4DA3"/>
    <w:rsid w:val="005058EE"/>
    <w:rsid w:val="00506557"/>
    <w:rsid w:val="0050677A"/>
    <w:rsid w:val="00506DB1"/>
    <w:rsid w:val="005108D8"/>
    <w:rsid w:val="005116F9"/>
    <w:rsid w:val="005153A7"/>
    <w:rsid w:val="005219CF"/>
    <w:rsid w:val="00527228"/>
    <w:rsid w:val="00531534"/>
    <w:rsid w:val="005338D0"/>
    <w:rsid w:val="00534B59"/>
    <w:rsid w:val="0053631B"/>
    <w:rsid w:val="00536759"/>
    <w:rsid w:val="00537C62"/>
    <w:rsid w:val="005455DC"/>
    <w:rsid w:val="00546970"/>
    <w:rsid w:val="005518B8"/>
    <w:rsid w:val="00554E19"/>
    <w:rsid w:val="0056121F"/>
    <w:rsid w:val="00572505"/>
    <w:rsid w:val="00572E9A"/>
    <w:rsid w:val="0057696A"/>
    <w:rsid w:val="00580202"/>
    <w:rsid w:val="005817B6"/>
    <w:rsid w:val="00582809"/>
    <w:rsid w:val="00584075"/>
    <w:rsid w:val="0058798C"/>
    <w:rsid w:val="005900FA"/>
    <w:rsid w:val="005935A4"/>
    <w:rsid w:val="005948C2"/>
    <w:rsid w:val="00595DCA"/>
    <w:rsid w:val="0059779B"/>
    <w:rsid w:val="005A1D05"/>
    <w:rsid w:val="005A209A"/>
    <w:rsid w:val="005A662D"/>
    <w:rsid w:val="005B35D7"/>
    <w:rsid w:val="005B392A"/>
    <w:rsid w:val="005B3AA3"/>
    <w:rsid w:val="005B6F83"/>
    <w:rsid w:val="005C1B65"/>
    <w:rsid w:val="005C6BED"/>
    <w:rsid w:val="005C74FB"/>
    <w:rsid w:val="005D1602"/>
    <w:rsid w:val="005E1991"/>
    <w:rsid w:val="005E385F"/>
    <w:rsid w:val="005E4FA2"/>
    <w:rsid w:val="005E5B81"/>
    <w:rsid w:val="005F2CB1"/>
    <w:rsid w:val="005F3025"/>
    <w:rsid w:val="005F4AB2"/>
    <w:rsid w:val="005F4D03"/>
    <w:rsid w:val="005F618C"/>
    <w:rsid w:val="005F6C25"/>
    <w:rsid w:val="005F70BD"/>
    <w:rsid w:val="0060283C"/>
    <w:rsid w:val="00604F14"/>
    <w:rsid w:val="00605F62"/>
    <w:rsid w:val="00611B83"/>
    <w:rsid w:val="00613257"/>
    <w:rsid w:val="00616529"/>
    <w:rsid w:val="00620A71"/>
    <w:rsid w:val="00620D80"/>
    <w:rsid w:val="006234A6"/>
    <w:rsid w:val="00624D23"/>
    <w:rsid w:val="006279A9"/>
    <w:rsid w:val="00630001"/>
    <w:rsid w:val="006311B3"/>
    <w:rsid w:val="0063284C"/>
    <w:rsid w:val="00636398"/>
    <w:rsid w:val="006368D3"/>
    <w:rsid w:val="00636C25"/>
    <w:rsid w:val="006377EC"/>
    <w:rsid w:val="0064151F"/>
    <w:rsid w:val="00641533"/>
    <w:rsid w:val="0064208D"/>
    <w:rsid w:val="00643348"/>
    <w:rsid w:val="00643475"/>
    <w:rsid w:val="0064396A"/>
    <w:rsid w:val="0064624E"/>
    <w:rsid w:val="0064647A"/>
    <w:rsid w:val="00650AB9"/>
    <w:rsid w:val="00655733"/>
    <w:rsid w:val="00655ACD"/>
    <w:rsid w:val="00656A92"/>
    <w:rsid w:val="00656DDE"/>
    <w:rsid w:val="0066011D"/>
    <w:rsid w:val="006607C0"/>
    <w:rsid w:val="006613A6"/>
    <w:rsid w:val="00662518"/>
    <w:rsid w:val="006627A2"/>
    <w:rsid w:val="00662F9B"/>
    <w:rsid w:val="006634E6"/>
    <w:rsid w:val="006655EE"/>
    <w:rsid w:val="00667EE7"/>
    <w:rsid w:val="00670922"/>
    <w:rsid w:val="00670BE1"/>
    <w:rsid w:val="0067218F"/>
    <w:rsid w:val="006741F2"/>
    <w:rsid w:val="00674CC3"/>
    <w:rsid w:val="00675C72"/>
    <w:rsid w:val="006771F9"/>
    <w:rsid w:val="006776D7"/>
    <w:rsid w:val="00677B36"/>
    <w:rsid w:val="00681003"/>
    <w:rsid w:val="00681678"/>
    <w:rsid w:val="006817C9"/>
    <w:rsid w:val="00683ECE"/>
    <w:rsid w:val="00690086"/>
    <w:rsid w:val="00695FC2"/>
    <w:rsid w:val="00696949"/>
    <w:rsid w:val="00697052"/>
    <w:rsid w:val="006A46FB"/>
    <w:rsid w:val="006A5E28"/>
    <w:rsid w:val="006A697B"/>
    <w:rsid w:val="006A7AFF"/>
    <w:rsid w:val="006B1816"/>
    <w:rsid w:val="006B2099"/>
    <w:rsid w:val="006B50CF"/>
    <w:rsid w:val="006C03B8"/>
    <w:rsid w:val="006C5CF8"/>
    <w:rsid w:val="006C5EC9"/>
    <w:rsid w:val="006C6059"/>
    <w:rsid w:val="006C7522"/>
    <w:rsid w:val="006D01AD"/>
    <w:rsid w:val="006D48B9"/>
    <w:rsid w:val="006D6F08"/>
    <w:rsid w:val="006E062C"/>
    <w:rsid w:val="006E0957"/>
    <w:rsid w:val="006E28B7"/>
    <w:rsid w:val="006E3310"/>
    <w:rsid w:val="006E4E39"/>
    <w:rsid w:val="006E565E"/>
    <w:rsid w:val="006E673D"/>
    <w:rsid w:val="006E7D3B"/>
    <w:rsid w:val="006F1B70"/>
    <w:rsid w:val="006F341D"/>
    <w:rsid w:val="006F3CDE"/>
    <w:rsid w:val="006F573B"/>
    <w:rsid w:val="006F58D4"/>
    <w:rsid w:val="0070346E"/>
    <w:rsid w:val="00704EDB"/>
    <w:rsid w:val="0070537F"/>
    <w:rsid w:val="00706101"/>
    <w:rsid w:val="00707072"/>
    <w:rsid w:val="00707D61"/>
    <w:rsid w:val="00711387"/>
    <w:rsid w:val="00712287"/>
    <w:rsid w:val="00712772"/>
    <w:rsid w:val="007131E4"/>
    <w:rsid w:val="007148D3"/>
    <w:rsid w:val="00715B9A"/>
    <w:rsid w:val="00716732"/>
    <w:rsid w:val="00720DA1"/>
    <w:rsid w:val="00721593"/>
    <w:rsid w:val="00725AA1"/>
    <w:rsid w:val="00726EA6"/>
    <w:rsid w:val="00727208"/>
    <w:rsid w:val="00727680"/>
    <w:rsid w:val="007348B1"/>
    <w:rsid w:val="00734B23"/>
    <w:rsid w:val="007362A6"/>
    <w:rsid w:val="00736D7D"/>
    <w:rsid w:val="00740E58"/>
    <w:rsid w:val="007445A0"/>
    <w:rsid w:val="007451AA"/>
    <w:rsid w:val="0074524B"/>
    <w:rsid w:val="0074606A"/>
    <w:rsid w:val="00747D8B"/>
    <w:rsid w:val="00751228"/>
    <w:rsid w:val="00752B0D"/>
    <w:rsid w:val="007571E1"/>
    <w:rsid w:val="007604B2"/>
    <w:rsid w:val="00761D51"/>
    <w:rsid w:val="00765281"/>
    <w:rsid w:val="00766582"/>
    <w:rsid w:val="00766BAD"/>
    <w:rsid w:val="007730BD"/>
    <w:rsid w:val="00773350"/>
    <w:rsid w:val="007755F2"/>
    <w:rsid w:val="00776971"/>
    <w:rsid w:val="0078177E"/>
    <w:rsid w:val="0078304C"/>
    <w:rsid w:val="00783673"/>
    <w:rsid w:val="007851C7"/>
    <w:rsid w:val="00785490"/>
    <w:rsid w:val="007925EA"/>
    <w:rsid w:val="00792944"/>
    <w:rsid w:val="007934DA"/>
    <w:rsid w:val="00793CD8"/>
    <w:rsid w:val="00795C92"/>
    <w:rsid w:val="00796231"/>
    <w:rsid w:val="007979C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D78B4"/>
    <w:rsid w:val="007D799F"/>
    <w:rsid w:val="007E21C9"/>
    <w:rsid w:val="007E4610"/>
    <w:rsid w:val="007E4715"/>
    <w:rsid w:val="007E505B"/>
    <w:rsid w:val="007E52B7"/>
    <w:rsid w:val="007E7091"/>
    <w:rsid w:val="00803365"/>
    <w:rsid w:val="00803FAE"/>
    <w:rsid w:val="0080605F"/>
    <w:rsid w:val="00807786"/>
    <w:rsid w:val="00811FCB"/>
    <w:rsid w:val="00815589"/>
    <w:rsid w:val="008158D6"/>
    <w:rsid w:val="00817196"/>
    <w:rsid w:val="00817EDE"/>
    <w:rsid w:val="008235DB"/>
    <w:rsid w:val="00824AB4"/>
    <w:rsid w:val="00825C42"/>
    <w:rsid w:val="00825D25"/>
    <w:rsid w:val="00827D6F"/>
    <w:rsid w:val="008342AE"/>
    <w:rsid w:val="008376AC"/>
    <w:rsid w:val="008444E8"/>
    <w:rsid w:val="00844E80"/>
    <w:rsid w:val="00846FE7"/>
    <w:rsid w:val="00850CEC"/>
    <w:rsid w:val="00853E55"/>
    <w:rsid w:val="00856911"/>
    <w:rsid w:val="008677FD"/>
    <w:rsid w:val="008706D4"/>
    <w:rsid w:val="008709C1"/>
    <w:rsid w:val="00870F8A"/>
    <w:rsid w:val="008719A4"/>
    <w:rsid w:val="00871D23"/>
    <w:rsid w:val="00874312"/>
    <w:rsid w:val="00874319"/>
    <w:rsid w:val="0087437C"/>
    <w:rsid w:val="00875CD7"/>
    <w:rsid w:val="00876B4D"/>
    <w:rsid w:val="0087768C"/>
    <w:rsid w:val="00877F18"/>
    <w:rsid w:val="00894A88"/>
    <w:rsid w:val="00895386"/>
    <w:rsid w:val="00897F60"/>
    <w:rsid w:val="008A21FF"/>
    <w:rsid w:val="008A2CE2"/>
    <w:rsid w:val="008A30AC"/>
    <w:rsid w:val="008A44B8"/>
    <w:rsid w:val="008A45DF"/>
    <w:rsid w:val="008A51A8"/>
    <w:rsid w:val="008A54C7"/>
    <w:rsid w:val="008A5641"/>
    <w:rsid w:val="008A77D8"/>
    <w:rsid w:val="008B0483"/>
    <w:rsid w:val="008B120C"/>
    <w:rsid w:val="008B2931"/>
    <w:rsid w:val="008B51A0"/>
    <w:rsid w:val="008B592A"/>
    <w:rsid w:val="008B7B5C"/>
    <w:rsid w:val="008C0C99"/>
    <w:rsid w:val="008C2017"/>
    <w:rsid w:val="008C3166"/>
    <w:rsid w:val="008C4958"/>
    <w:rsid w:val="008C4BAA"/>
    <w:rsid w:val="008C6AE8"/>
    <w:rsid w:val="008C7573"/>
    <w:rsid w:val="008D34F1"/>
    <w:rsid w:val="008D39D8"/>
    <w:rsid w:val="008D6D1A"/>
    <w:rsid w:val="008D7451"/>
    <w:rsid w:val="008E065E"/>
    <w:rsid w:val="008E0927"/>
    <w:rsid w:val="008E1909"/>
    <w:rsid w:val="008E6F27"/>
    <w:rsid w:val="008F1EAB"/>
    <w:rsid w:val="008F2A74"/>
    <w:rsid w:val="008F33DC"/>
    <w:rsid w:val="008F477F"/>
    <w:rsid w:val="008F5613"/>
    <w:rsid w:val="00901826"/>
    <w:rsid w:val="00902350"/>
    <w:rsid w:val="0090336B"/>
    <w:rsid w:val="009053AA"/>
    <w:rsid w:val="00906939"/>
    <w:rsid w:val="00910B7D"/>
    <w:rsid w:val="0091176E"/>
    <w:rsid w:val="00911DFB"/>
    <w:rsid w:val="009139D9"/>
    <w:rsid w:val="00914AD8"/>
    <w:rsid w:val="00916079"/>
    <w:rsid w:val="00917CE9"/>
    <w:rsid w:val="00917DB7"/>
    <w:rsid w:val="00920BF2"/>
    <w:rsid w:val="00922010"/>
    <w:rsid w:val="00931BD9"/>
    <w:rsid w:val="009331FF"/>
    <w:rsid w:val="009364EE"/>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1EC2"/>
    <w:rsid w:val="0098278C"/>
    <w:rsid w:val="00985253"/>
    <w:rsid w:val="009853B3"/>
    <w:rsid w:val="009871BA"/>
    <w:rsid w:val="00990630"/>
    <w:rsid w:val="009916F6"/>
    <w:rsid w:val="00991761"/>
    <w:rsid w:val="00994DCA"/>
    <w:rsid w:val="009960EC"/>
    <w:rsid w:val="009970DD"/>
    <w:rsid w:val="009A0663"/>
    <w:rsid w:val="009A0FBA"/>
    <w:rsid w:val="009A1601"/>
    <w:rsid w:val="009A462D"/>
    <w:rsid w:val="009A5CBA"/>
    <w:rsid w:val="009B1F30"/>
    <w:rsid w:val="009B3AC2"/>
    <w:rsid w:val="009B41AE"/>
    <w:rsid w:val="009B4DF4"/>
    <w:rsid w:val="009B564E"/>
    <w:rsid w:val="009B7E87"/>
    <w:rsid w:val="009C403E"/>
    <w:rsid w:val="009D4FF0"/>
    <w:rsid w:val="009D57B2"/>
    <w:rsid w:val="009D703C"/>
    <w:rsid w:val="009D718F"/>
    <w:rsid w:val="009E068F"/>
    <w:rsid w:val="009E14E0"/>
    <w:rsid w:val="009E35DB"/>
    <w:rsid w:val="009E47A3"/>
    <w:rsid w:val="009F08F3"/>
    <w:rsid w:val="009F1ECE"/>
    <w:rsid w:val="009F344F"/>
    <w:rsid w:val="009F48D1"/>
    <w:rsid w:val="00A048A8"/>
    <w:rsid w:val="00A04F49"/>
    <w:rsid w:val="00A13E54"/>
    <w:rsid w:val="00A15917"/>
    <w:rsid w:val="00A17F63"/>
    <w:rsid w:val="00A20AD0"/>
    <w:rsid w:val="00A2193B"/>
    <w:rsid w:val="00A231A4"/>
    <w:rsid w:val="00A2351A"/>
    <w:rsid w:val="00A26437"/>
    <w:rsid w:val="00A264A9"/>
    <w:rsid w:val="00A27785"/>
    <w:rsid w:val="00A30187"/>
    <w:rsid w:val="00A31848"/>
    <w:rsid w:val="00A3448A"/>
    <w:rsid w:val="00A36297"/>
    <w:rsid w:val="00A368BA"/>
    <w:rsid w:val="00A375B3"/>
    <w:rsid w:val="00A41E2B"/>
    <w:rsid w:val="00A45B74"/>
    <w:rsid w:val="00A476FC"/>
    <w:rsid w:val="00A52E1D"/>
    <w:rsid w:val="00A61499"/>
    <w:rsid w:val="00A62A77"/>
    <w:rsid w:val="00A63483"/>
    <w:rsid w:val="00A657D7"/>
    <w:rsid w:val="00A660AC"/>
    <w:rsid w:val="00A67E6C"/>
    <w:rsid w:val="00A71B99"/>
    <w:rsid w:val="00A739D0"/>
    <w:rsid w:val="00A761D4"/>
    <w:rsid w:val="00A77EC4"/>
    <w:rsid w:val="00A85478"/>
    <w:rsid w:val="00A86F0A"/>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6516"/>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0668"/>
    <w:rsid w:val="00B157F9"/>
    <w:rsid w:val="00B167F1"/>
    <w:rsid w:val="00B20256"/>
    <w:rsid w:val="00B20D09"/>
    <w:rsid w:val="00B2763F"/>
    <w:rsid w:val="00B27AAC"/>
    <w:rsid w:val="00B30929"/>
    <w:rsid w:val="00B32E2A"/>
    <w:rsid w:val="00B34D7F"/>
    <w:rsid w:val="00B372AA"/>
    <w:rsid w:val="00B40445"/>
    <w:rsid w:val="00B41888"/>
    <w:rsid w:val="00B42BDB"/>
    <w:rsid w:val="00B438B0"/>
    <w:rsid w:val="00B45A52"/>
    <w:rsid w:val="00B45B8D"/>
    <w:rsid w:val="00B46175"/>
    <w:rsid w:val="00B46AF2"/>
    <w:rsid w:val="00B56507"/>
    <w:rsid w:val="00B62AAA"/>
    <w:rsid w:val="00B664C7"/>
    <w:rsid w:val="00B739F6"/>
    <w:rsid w:val="00B81A6C"/>
    <w:rsid w:val="00B85DE5"/>
    <w:rsid w:val="00B87624"/>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C1D"/>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413D5"/>
    <w:rsid w:val="00C42766"/>
    <w:rsid w:val="00C44F1F"/>
    <w:rsid w:val="00C45E6B"/>
    <w:rsid w:val="00C50286"/>
    <w:rsid w:val="00C54995"/>
    <w:rsid w:val="00C54D41"/>
    <w:rsid w:val="00C60783"/>
    <w:rsid w:val="00C64672"/>
    <w:rsid w:val="00C669A9"/>
    <w:rsid w:val="00C66EF3"/>
    <w:rsid w:val="00C70697"/>
    <w:rsid w:val="00C72EF4"/>
    <w:rsid w:val="00C75D2F"/>
    <w:rsid w:val="00C767BE"/>
    <w:rsid w:val="00C76963"/>
    <w:rsid w:val="00C76E3C"/>
    <w:rsid w:val="00C81568"/>
    <w:rsid w:val="00C8342A"/>
    <w:rsid w:val="00C84653"/>
    <w:rsid w:val="00C9027A"/>
    <w:rsid w:val="00C9068E"/>
    <w:rsid w:val="00C931FF"/>
    <w:rsid w:val="00C93504"/>
    <w:rsid w:val="00C93C4B"/>
    <w:rsid w:val="00C944AB"/>
    <w:rsid w:val="00C95B40"/>
    <w:rsid w:val="00CA1ED8"/>
    <w:rsid w:val="00CA5211"/>
    <w:rsid w:val="00CB0CDA"/>
    <w:rsid w:val="00CB1F63"/>
    <w:rsid w:val="00CB4F2B"/>
    <w:rsid w:val="00CB62FF"/>
    <w:rsid w:val="00CB7170"/>
    <w:rsid w:val="00CC040E"/>
    <w:rsid w:val="00CC0F71"/>
    <w:rsid w:val="00CC111F"/>
    <w:rsid w:val="00CC2011"/>
    <w:rsid w:val="00CC3EA0"/>
    <w:rsid w:val="00CC646B"/>
    <w:rsid w:val="00CC7384"/>
    <w:rsid w:val="00CC7B45"/>
    <w:rsid w:val="00CD1188"/>
    <w:rsid w:val="00CD2ED1"/>
    <w:rsid w:val="00CD337B"/>
    <w:rsid w:val="00CD6892"/>
    <w:rsid w:val="00CE0424"/>
    <w:rsid w:val="00CE7561"/>
    <w:rsid w:val="00CF1354"/>
    <w:rsid w:val="00CF3B1F"/>
    <w:rsid w:val="00CF3BF6"/>
    <w:rsid w:val="00CF625B"/>
    <w:rsid w:val="00CF687E"/>
    <w:rsid w:val="00D00FB4"/>
    <w:rsid w:val="00D0349B"/>
    <w:rsid w:val="00D04434"/>
    <w:rsid w:val="00D06E22"/>
    <w:rsid w:val="00D10249"/>
    <w:rsid w:val="00D115C3"/>
    <w:rsid w:val="00D11897"/>
    <w:rsid w:val="00D13135"/>
    <w:rsid w:val="00D13E4E"/>
    <w:rsid w:val="00D159CF"/>
    <w:rsid w:val="00D239A7"/>
    <w:rsid w:val="00D23F47"/>
    <w:rsid w:val="00D255F7"/>
    <w:rsid w:val="00D26C63"/>
    <w:rsid w:val="00D27709"/>
    <w:rsid w:val="00D27DB6"/>
    <w:rsid w:val="00D3005B"/>
    <w:rsid w:val="00D36E71"/>
    <w:rsid w:val="00D37D87"/>
    <w:rsid w:val="00D40B33"/>
    <w:rsid w:val="00D42264"/>
    <w:rsid w:val="00D4318F"/>
    <w:rsid w:val="00D438BF"/>
    <w:rsid w:val="00D43BD2"/>
    <w:rsid w:val="00D440F8"/>
    <w:rsid w:val="00D546FF"/>
    <w:rsid w:val="00D55AD5"/>
    <w:rsid w:val="00D576CA"/>
    <w:rsid w:val="00D60E13"/>
    <w:rsid w:val="00D61AF5"/>
    <w:rsid w:val="00D62CD5"/>
    <w:rsid w:val="00D6435F"/>
    <w:rsid w:val="00D64B54"/>
    <w:rsid w:val="00D652B5"/>
    <w:rsid w:val="00D66155"/>
    <w:rsid w:val="00D708B0"/>
    <w:rsid w:val="00D73D03"/>
    <w:rsid w:val="00D77B1D"/>
    <w:rsid w:val="00D8021F"/>
    <w:rsid w:val="00D80383"/>
    <w:rsid w:val="00D823C6"/>
    <w:rsid w:val="00D86CA3"/>
    <w:rsid w:val="00D871CE"/>
    <w:rsid w:val="00D9196D"/>
    <w:rsid w:val="00D92982"/>
    <w:rsid w:val="00DA305E"/>
    <w:rsid w:val="00DA5007"/>
    <w:rsid w:val="00DA5417"/>
    <w:rsid w:val="00DA56E8"/>
    <w:rsid w:val="00DB09B5"/>
    <w:rsid w:val="00DB0A9F"/>
    <w:rsid w:val="00DB1741"/>
    <w:rsid w:val="00DB377D"/>
    <w:rsid w:val="00DC2D36"/>
    <w:rsid w:val="00DC53EF"/>
    <w:rsid w:val="00DC597C"/>
    <w:rsid w:val="00DD1C73"/>
    <w:rsid w:val="00DE0C2E"/>
    <w:rsid w:val="00DE54A0"/>
    <w:rsid w:val="00DE5608"/>
    <w:rsid w:val="00DE58D0"/>
    <w:rsid w:val="00DE654F"/>
    <w:rsid w:val="00DF0B6E"/>
    <w:rsid w:val="00DF15E0"/>
    <w:rsid w:val="00DF37A0"/>
    <w:rsid w:val="00E00520"/>
    <w:rsid w:val="00E110E7"/>
    <w:rsid w:val="00E11615"/>
    <w:rsid w:val="00E11B20"/>
    <w:rsid w:val="00E17FA2"/>
    <w:rsid w:val="00E22330"/>
    <w:rsid w:val="00E30B5A"/>
    <w:rsid w:val="00E3123D"/>
    <w:rsid w:val="00E31461"/>
    <w:rsid w:val="00E31D43"/>
    <w:rsid w:val="00E32608"/>
    <w:rsid w:val="00E34188"/>
    <w:rsid w:val="00E345CD"/>
    <w:rsid w:val="00E34B6E"/>
    <w:rsid w:val="00E35559"/>
    <w:rsid w:val="00E36FD3"/>
    <w:rsid w:val="00E3723A"/>
    <w:rsid w:val="00E37860"/>
    <w:rsid w:val="00E446F1"/>
    <w:rsid w:val="00E46886"/>
    <w:rsid w:val="00E47AEF"/>
    <w:rsid w:val="00E53B75"/>
    <w:rsid w:val="00E54E3B"/>
    <w:rsid w:val="00E57565"/>
    <w:rsid w:val="00E63838"/>
    <w:rsid w:val="00E64434"/>
    <w:rsid w:val="00E67C51"/>
    <w:rsid w:val="00E72EFC"/>
    <w:rsid w:val="00E758EC"/>
    <w:rsid w:val="00E77520"/>
    <w:rsid w:val="00E81248"/>
    <w:rsid w:val="00E818C2"/>
    <w:rsid w:val="00E8234C"/>
    <w:rsid w:val="00E83AA9"/>
    <w:rsid w:val="00E85928"/>
    <w:rsid w:val="00E87822"/>
    <w:rsid w:val="00E90395"/>
    <w:rsid w:val="00E90E49"/>
    <w:rsid w:val="00E917F9"/>
    <w:rsid w:val="00E9291C"/>
    <w:rsid w:val="00E93FFE"/>
    <w:rsid w:val="00E94F8A"/>
    <w:rsid w:val="00EA7A41"/>
    <w:rsid w:val="00EB077B"/>
    <w:rsid w:val="00EB4EA2"/>
    <w:rsid w:val="00EC22B6"/>
    <w:rsid w:val="00EC27C6"/>
    <w:rsid w:val="00EC2DEF"/>
    <w:rsid w:val="00EC30D0"/>
    <w:rsid w:val="00EC4207"/>
    <w:rsid w:val="00EC48E0"/>
    <w:rsid w:val="00EC528C"/>
    <w:rsid w:val="00EC5653"/>
    <w:rsid w:val="00EC60B5"/>
    <w:rsid w:val="00EC71CE"/>
    <w:rsid w:val="00ED1006"/>
    <w:rsid w:val="00ED6FA8"/>
    <w:rsid w:val="00EF18FE"/>
    <w:rsid w:val="00EF5787"/>
    <w:rsid w:val="00EF60D0"/>
    <w:rsid w:val="00F0528D"/>
    <w:rsid w:val="00F062AE"/>
    <w:rsid w:val="00F06C67"/>
    <w:rsid w:val="00F06DFD"/>
    <w:rsid w:val="00F071D1"/>
    <w:rsid w:val="00F07533"/>
    <w:rsid w:val="00F10629"/>
    <w:rsid w:val="00F15FA5"/>
    <w:rsid w:val="00F209B7"/>
    <w:rsid w:val="00F2376F"/>
    <w:rsid w:val="00F243D8"/>
    <w:rsid w:val="00F30828"/>
    <w:rsid w:val="00F313D6"/>
    <w:rsid w:val="00F32577"/>
    <w:rsid w:val="00F40F0C"/>
    <w:rsid w:val="00F45725"/>
    <w:rsid w:val="00F4766C"/>
    <w:rsid w:val="00F507D1"/>
    <w:rsid w:val="00F519CE"/>
    <w:rsid w:val="00F51ADA"/>
    <w:rsid w:val="00F607C5"/>
    <w:rsid w:val="00F60DEA"/>
    <w:rsid w:val="00F62843"/>
    <w:rsid w:val="00F62C50"/>
    <w:rsid w:val="00F6302A"/>
    <w:rsid w:val="00F64480"/>
    <w:rsid w:val="00F64C2B"/>
    <w:rsid w:val="00F651BE"/>
    <w:rsid w:val="00F67F53"/>
    <w:rsid w:val="00F703BE"/>
    <w:rsid w:val="00F71F69"/>
    <w:rsid w:val="00F72052"/>
    <w:rsid w:val="00F72B72"/>
    <w:rsid w:val="00F74BB9"/>
    <w:rsid w:val="00F75582"/>
    <w:rsid w:val="00F75A7F"/>
    <w:rsid w:val="00F76EFA"/>
    <w:rsid w:val="00F804BE"/>
    <w:rsid w:val="00F817CE"/>
    <w:rsid w:val="00F82BC4"/>
    <w:rsid w:val="00F8456C"/>
    <w:rsid w:val="00F859D8"/>
    <w:rsid w:val="00F868F5"/>
    <w:rsid w:val="00F9056A"/>
    <w:rsid w:val="00F90F8D"/>
    <w:rsid w:val="00F92782"/>
    <w:rsid w:val="00F93AA9"/>
    <w:rsid w:val="00F94B6B"/>
    <w:rsid w:val="00F96985"/>
    <w:rsid w:val="00F97838"/>
    <w:rsid w:val="00FA2BB3"/>
    <w:rsid w:val="00FB4C80"/>
    <w:rsid w:val="00FB6A6A"/>
    <w:rsid w:val="00FC4AD0"/>
    <w:rsid w:val="00FC5B85"/>
    <w:rsid w:val="00FC7429"/>
    <w:rsid w:val="00FD07F6"/>
    <w:rsid w:val="00FD1EC8"/>
    <w:rsid w:val="00FD3FB3"/>
    <w:rsid w:val="00FD47ED"/>
    <w:rsid w:val="00FD700A"/>
    <w:rsid w:val="00FD74DB"/>
    <w:rsid w:val="00FD7660"/>
    <w:rsid w:val="00FE03FD"/>
    <w:rsid w:val="00FE0655"/>
    <w:rsid w:val="00FE2365"/>
    <w:rsid w:val="00FE3C28"/>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D871A5A4-5CAA-499D-B0EF-382A388EE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317B01"/>
    <w:pPr>
      <w:numPr>
        <w:ilvl w:val="2"/>
      </w:numPr>
      <w:spacing w:before="120"/>
      <w:outlineLvl w:val="2"/>
    </w:pPr>
    <w:rPr>
      <w:sz w:val="28"/>
      <w:szCs w:val="28"/>
    </w:rPr>
  </w:style>
  <w:style w:type="paragraph" w:styleId="Heading4">
    <w:name w:val="heading 4"/>
    <w:basedOn w:val="Heading3"/>
    <w:next w:val="Normal"/>
    <w:link w:val="Heading4Char"/>
    <w:qFormat/>
    <w:rsid w:val="00317B01"/>
    <w:pPr>
      <w:numPr>
        <w:ilvl w:val="3"/>
      </w:numPr>
      <w:tabs>
        <w:tab w:val="clear" w:pos="1148"/>
        <w:tab w:val="num" w:pos="864"/>
      </w:tabs>
      <w:ind w:left="864"/>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rsid w:val="00317B01"/>
  </w:style>
  <w:style w:type="paragraph" w:styleId="BodyText">
    <w:name w:val="Body Text"/>
    <w:aliases w:val="b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semiHidden/>
    <w:rsid w:val="00317B01"/>
    <w:rPr>
      <w:sz w:val="16"/>
      <w:szCs w:val="16"/>
    </w:rPr>
  </w:style>
  <w:style w:type="paragraph" w:styleId="CommentText">
    <w:name w:val="annotation text"/>
    <w:basedOn w:val="Normal"/>
    <w:link w:val="CommentTextChar"/>
    <w:uiPriority w:val="99"/>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aliases w:val="bt Char"/>
    <w:link w:val="BodyText"/>
    <w:rsid w:val="00317B01"/>
    <w:rPr>
      <w:rFonts w:ascii="Arial" w:hAnsi="Arial"/>
      <w:lang w:val="en-GB"/>
    </w:rPr>
  </w:style>
  <w:style w:type="paragraph" w:customStyle="1" w:styleId="B5">
    <w:name w:val="B5"/>
    <w:basedOn w:val="List5"/>
    <w:link w:val="B5Char"/>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link w:val="ListParagraphChar"/>
    <w:uiPriority w:val="34"/>
    <w:qFormat/>
    <w:rsid w:val="00CD6892"/>
    <w:pPr>
      <w:overflowPunct/>
      <w:autoSpaceDE/>
      <w:autoSpaceDN/>
      <w:adjustRightInd/>
      <w:spacing w:after="0"/>
      <w:ind w:left="720"/>
      <w:jc w:val="left"/>
      <w:textAlignment w:val="auto"/>
    </w:pPr>
    <w:rPr>
      <w:rFonts w:ascii="Calibri" w:hAnsi="Calibri"/>
      <w:sz w:val="22"/>
      <w:szCs w:val="22"/>
      <w:lang w:val="en-US" w:eastAsia="en-US"/>
    </w:rPr>
  </w:style>
  <w:style w:type="paragraph" w:styleId="Revision">
    <w:name w:val="Revision"/>
    <w:hidden/>
    <w:uiPriority w:val="99"/>
    <w:semiHidden/>
    <w:rsid w:val="00B87624"/>
    <w:rPr>
      <w:rFonts w:ascii="Arial" w:hAnsi="Arial"/>
      <w:lang w:val="en-GB"/>
    </w:rPr>
  </w:style>
  <w:style w:type="character" w:customStyle="1" w:styleId="CommentTextChar">
    <w:name w:val="Comment Text Char"/>
    <w:basedOn w:val="DefaultParagraphFont"/>
    <w:link w:val="CommentText"/>
    <w:uiPriority w:val="99"/>
    <w:semiHidden/>
    <w:rsid w:val="00C8342A"/>
    <w:rPr>
      <w:rFonts w:ascii="Arial" w:hAnsi="Arial"/>
      <w:lang w:val="en-GB"/>
    </w:rPr>
  </w:style>
  <w:style w:type="character" w:customStyle="1" w:styleId="B1Zchn">
    <w:name w:val="B1 Zchn"/>
    <w:link w:val="B1"/>
    <w:locked/>
    <w:rsid w:val="009D57B2"/>
    <w:rPr>
      <w:rFonts w:ascii="Arial" w:hAnsi="Arial"/>
      <w:lang w:val="en-GB" w:eastAsia="en-US"/>
    </w:rPr>
  </w:style>
  <w:style w:type="paragraph" w:customStyle="1" w:styleId="Doc-text2">
    <w:name w:val="Doc-text2"/>
    <w:basedOn w:val="Normal"/>
    <w:link w:val="Doc-text2Char"/>
    <w:qFormat/>
    <w:rsid w:val="009D57B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locked/>
    <w:rsid w:val="009D57B2"/>
    <w:rPr>
      <w:rFonts w:ascii="Arial" w:eastAsia="MS Mincho" w:hAnsi="Arial"/>
      <w:szCs w:val="24"/>
      <w:lang w:val="en-GB" w:eastAsia="en-GB"/>
    </w:rPr>
  </w:style>
  <w:style w:type="character" w:customStyle="1" w:styleId="Heading3Char">
    <w:name w:val="Heading 3 Char"/>
    <w:link w:val="Heading3"/>
    <w:rsid w:val="00347092"/>
    <w:rPr>
      <w:rFonts w:ascii="Arial" w:hAnsi="Arial" w:cs="Arial"/>
      <w:sz w:val="28"/>
      <w:szCs w:val="28"/>
      <w:lang w:val="en-GB"/>
    </w:rPr>
  </w:style>
  <w:style w:type="character" w:customStyle="1" w:styleId="Heading4Char">
    <w:name w:val="Heading 4 Char"/>
    <w:link w:val="Heading4"/>
    <w:locked/>
    <w:rsid w:val="00347092"/>
    <w:rPr>
      <w:rFonts w:ascii="Arial" w:hAnsi="Arial" w:cs="Arial"/>
      <w:sz w:val="24"/>
      <w:szCs w:val="24"/>
      <w:lang w:val="en-GB"/>
    </w:rPr>
  </w:style>
  <w:style w:type="paragraph" w:customStyle="1" w:styleId="H6">
    <w:name w:val="H6"/>
    <w:basedOn w:val="Heading5"/>
    <w:next w:val="Normal"/>
    <w:rsid w:val="00347092"/>
    <w:pPr>
      <w:numPr>
        <w:ilvl w:val="0"/>
        <w:numId w:val="0"/>
      </w:numPr>
      <w:ind w:left="1985" w:hanging="1985"/>
      <w:outlineLvl w:val="9"/>
    </w:pPr>
    <w:rPr>
      <w:rFonts w:cs="Times New Roman"/>
      <w:sz w:val="20"/>
      <w:szCs w:val="20"/>
      <w:lang w:val="x-none" w:eastAsia="x-none"/>
    </w:rPr>
  </w:style>
  <w:style w:type="character" w:customStyle="1" w:styleId="Heading9Char">
    <w:name w:val="Heading 9 Char"/>
    <w:link w:val="Heading9"/>
    <w:rsid w:val="00347092"/>
    <w:rPr>
      <w:rFonts w:ascii="Arial" w:hAnsi="Arial" w:cs="Arial"/>
      <w:lang w:val="en-GB"/>
    </w:rPr>
  </w:style>
  <w:style w:type="character" w:customStyle="1" w:styleId="TALCar">
    <w:name w:val="TAL Car"/>
    <w:link w:val="TAL"/>
    <w:rsid w:val="00347092"/>
    <w:rPr>
      <w:rFonts w:ascii="Arial" w:hAnsi="Arial"/>
      <w:sz w:val="18"/>
      <w:lang w:val="en-GB" w:eastAsia="en-US"/>
    </w:rPr>
  </w:style>
  <w:style w:type="character" w:customStyle="1" w:styleId="TAHCar">
    <w:name w:val="TAH Car"/>
    <w:link w:val="TAH"/>
    <w:locked/>
    <w:rsid w:val="00347092"/>
    <w:rPr>
      <w:rFonts w:ascii="Arial" w:hAnsi="Arial"/>
      <w:b/>
      <w:sz w:val="18"/>
      <w:lang w:val="en-GB" w:eastAsia="en-US"/>
    </w:rPr>
  </w:style>
  <w:style w:type="character" w:customStyle="1" w:styleId="THChar">
    <w:name w:val="TH Char"/>
    <w:link w:val="TH"/>
    <w:rsid w:val="00347092"/>
    <w:rPr>
      <w:rFonts w:ascii="Arial" w:hAnsi="Arial"/>
      <w:b/>
      <w:lang w:val="en-GB" w:eastAsia="en-US"/>
    </w:rPr>
  </w:style>
  <w:style w:type="character" w:customStyle="1" w:styleId="TFChar">
    <w:name w:val="TF Char"/>
    <w:link w:val="TF"/>
    <w:rsid w:val="00347092"/>
    <w:rPr>
      <w:rFonts w:ascii="Arial" w:hAnsi="Arial"/>
      <w:b/>
      <w:lang w:val="en-GB" w:eastAsia="en-US"/>
    </w:rPr>
  </w:style>
  <w:style w:type="paragraph" w:customStyle="1" w:styleId="NO">
    <w:name w:val="NO"/>
    <w:basedOn w:val="Normal"/>
    <w:link w:val="NOChar"/>
    <w:rsid w:val="00347092"/>
    <w:pPr>
      <w:keepLines/>
      <w:spacing w:after="180"/>
      <w:ind w:left="1135" w:hanging="851"/>
      <w:jc w:val="left"/>
    </w:pPr>
    <w:rPr>
      <w:rFonts w:ascii="Times New Roman" w:hAnsi="Times New Roman"/>
      <w:lang w:val="x-none" w:eastAsia="x-none"/>
    </w:rPr>
  </w:style>
  <w:style w:type="character" w:customStyle="1" w:styleId="NOChar">
    <w:name w:val="NO Char"/>
    <w:link w:val="NO"/>
    <w:rsid w:val="00347092"/>
    <w:rPr>
      <w:rFonts w:ascii="Times New Roman" w:hAnsi="Times New Roman"/>
      <w:lang w:val="x-none" w:eastAsia="x-none"/>
    </w:rPr>
  </w:style>
  <w:style w:type="paragraph" w:customStyle="1" w:styleId="LD">
    <w:name w:val="LD"/>
    <w:rsid w:val="0034709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47092"/>
    <w:pPr>
      <w:spacing w:after="0"/>
    </w:pPr>
  </w:style>
  <w:style w:type="paragraph" w:customStyle="1" w:styleId="NF">
    <w:name w:val="NF"/>
    <w:basedOn w:val="NO"/>
    <w:rsid w:val="00347092"/>
    <w:pPr>
      <w:keepNext/>
      <w:spacing w:after="0"/>
    </w:pPr>
    <w:rPr>
      <w:rFonts w:ascii="Arial" w:hAnsi="Arial"/>
      <w:sz w:val="18"/>
    </w:rPr>
  </w:style>
  <w:style w:type="paragraph" w:customStyle="1" w:styleId="PL">
    <w:name w:val="PL"/>
    <w:link w:val="PLChar"/>
    <w:rsid w:val="00347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de-DE"/>
    </w:rPr>
  </w:style>
  <w:style w:type="character" w:customStyle="1" w:styleId="PLChar">
    <w:name w:val="PL Char"/>
    <w:link w:val="PL"/>
    <w:rsid w:val="00347092"/>
    <w:rPr>
      <w:rFonts w:ascii="Courier New" w:hAnsi="Courier New"/>
      <w:noProof/>
      <w:sz w:val="16"/>
      <w:lang w:val="de-DE" w:eastAsia="de-DE"/>
    </w:rPr>
  </w:style>
  <w:style w:type="character" w:customStyle="1" w:styleId="EditorsNoteChar">
    <w:name w:val="Editor's Note Char"/>
    <w:link w:val="EditorsNote"/>
    <w:rsid w:val="00347092"/>
    <w:rPr>
      <w:rFonts w:ascii="Arial" w:hAnsi="Arial"/>
      <w:color w:val="FF0000"/>
      <w:lang w:val="en-GB" w:eastAsia="en-US"/>
    </w:rPr>
  </w:style>
  <w:style w:type="character" w:customStyle="1" w:styleId="B1Char1">
    <w:name w:val="B1 Char1"/>
    <w:rsid w:val="00347092"/>
    <w:rPr>
      <w:rFonts w:ascii="Times New Roman" w:hAnsi="Times New Roman"/>
    </w:rPr>
  </w:style>
  <w:style w:type="character" w:customStyle="1" w:styleId="B2Char">
    <w:name w:val="B2 Char"/>
    <w:link w:val="B2"/>
    <w:rsid w:val="00347092"/>
    <w:rPr>
      <w:rFonts w:ascii="Arial" w:hAnsi="Arial"/>
      <w:lang w:val="en-GB" w:eastAsia="en-US"/>
    </w:rPr>
  </w:style>
  <w:style w:type="character" w:customStyle="1" w:styleId="B3Char2">
    <w:name w:val="B3 Char2"/>
    <w:link w:val="B3"/>
    <w:rsid w:val="00347092"/>
    <w:rPr>
      <w:rFonts w:ascii="Arial" w:hAnsi="Arial"/>
      <w:lang w:val="en-GB" w:eastAsia="en-US"/>
    </w:rPr>
  </w:style>
  <w:style w:type="character" w:customStyle="1" w:styleId="B4Char">
    <w:name w:val="B4 Char"/>
    <w:link w:val="B4"/>
    <w:rsid w:val="00347092"/>
    <w:rPr>
      <w:rFonts w:ascii="Arial" w:hAnsi="Arial"/>
      <w:lang w:val="en-GB" w:eastAsia="en-US"/>
    </w:rPr>
  </w:style>
  <w:style w:type="character" w:customStyle="1" w:styleId="B5Char">
    <w:name w:val="B5 Char"/>
    <w:link w:val="B5"/>
    <w:rsid w:val="00347092"/>
    <w:rPr>
      <w:rFonts w:ascii="Arial" w:hAnsi="Arial"/>
      <w:lang w:val="en-GB" w:eastAsia="en-US"/>
    </w:rPr>
  </w:style>
  <w:style w:type="character" w:customStyle="1" w:styleId="CRCoverPageZchn">
    <w:name w:val="CR Cover Page Zchn"/>
    <w:link w:val="CRCoverPage"/>
    <w:rsid w:val="00347092"/>
    <w:rPr>
      <w:rFonts w:ascii="Arial" w:hAnsi="Arial"/>
      <w:lang w:val="en-GB" w:eastAsia="en-US"/>
    </w:rPr>
  </w:style>
  <w:style w:type="paragraph" w:styleId="IndexHeading">
    <w:name w:val="index heading"/>
    <w:basedOn w:val="Normal"/>
    <w:next w:val="Normal"/>
    <w:rsid w:val="00347092"/>
    <w:pPr>
      <w:pBdr>
        <w:top w:val="single" w:sz="12" w:space="0" w:color="auto"/>
      </w:pBdr>
      <w:spacing w:before="360" w:after="240"/>
      <w:jc w:val="left"/>
    </w:pPr>
    <w:rPr>
      <w:rFonts w:ascii="Times New Roman" w:hAnsi="Times New Roman"/>
      <w:b/>
      <w:i/>
      <w:sz w:val="26"/>
      <w:lang w:eastAsia="en-GB"/>
    </w:rPr>
  </w:style>
  <w:style w:type="paragraph" w:customStyle="1" w:styleId="INDENT1">
    <w:name w:val="INDENT1"/>
    <w:basedOn w:val="Normal"/>
    <w:rsid w:val="00347092"/>
    <w:pPr>
      <w:spacing w:after="180"/>
      <w:ind w:left="851"/>
      <w:jc w:val="left"/>
    </w:pPr>
    <w:rPr>
      <w:rFonts w:ascii="Times New Roman" w:hAnsi="Times New Roman"/>
      <w:lang w:eastAsia="en-GB"/>
    </w:rPr>
  </w:style>
  <w:style w:type="paragraph" w:customStyle="1" w:styleId="INDENT2">
    <w:name w:val="INDENT2"/>
    <w:basedOn w:val="Normal"/>
    <w:rsid w:val="00347092"/>
    <w:pPr>
      <w:spacing w:after="180"/>
      <w:ind w:left="1135" w:hanging="284"/>
      <w:jc w:val="left"/>
    </w:pPr>
    <w:rPr>
      <w:rFonts w:ascii="Times New Roman" w:hAnsi="Times New Roman"/>
      <w:lang w:eastAsia="en-GB"/>
    </w:rPr>
  </w:style>
  <w:style w:type="paragraph" w:customStyle="1" w:styleId="INDENT3">
    <w:name w:val="INDENT3"/>
    <w:basedOn w:val="Normal"/>
    <w:rsid w:val="00347092"/>
    <w:pPr>
      <w:spacing w:after="180"/>
      <w:ind w:left="1701" w:hanging="567"/>
      <w:jc w:val="left"/>
    </w:pPr>
    <w:rPr>
      <w:rFonts w:ascii="Times New Roman" w:hAnsi="Times New Roman"/>
      <w:lang w:eastAsia="en-GB"/>
    </w:rPr>
  </w:style>
  <w:style w:type="paragraph" w:customStyle="1" w:styleId="FigureTitle">
    <w:name w:val="Figure_Title"/>
    <w:basedOn w:val="Normal"/>
    <w:next w:val="Normal"/>
    <w:rsid w:val="00347092"/>
    <w:pPr>
      <w:keepLines/>
      <w:tabs>
        <w:tab w:val="left" w:pos="794"/>
        <w:tab w:val="left" w:pos="1191"/>
        <w:tab w:val="left" w:pos="1588"/>
        <w:tab w:val="left" w:pos="1985"/>
      </w:tabs>
      <w:spacing w:before="120" w:after="480"/>
      <w:jc w:val="center"/>
    </w:pPr>
    <w:rPr>
      <w:rFonts w:ascii="Times New Roman" w:hAnsi="Times New Roman"/>
      <w:b/>
      <w:sz w:val="24"/>
      <w:lang w:eastAsia="en-GB"/>
    </w:rPr>
  </w:style>
  <w:style w:type="paragraph" w:customStyle="1" w:styleId="enumlev2">
    <w:name w:val="enumlev2"/>
    <w:basedOn w:val="Normal"/>
    <w:rsid w:val="00347092"/>
    <w:pPr>
      <w:tabs>
        <w:tab w:val="left" w:pos="794"/>
        <w:tab w:val="left" w:pos="1191"/>
        <w:tab w:val="left" w:pos="1588"/>
        <w:tab w:val="left" w:pos="1985"/>
      </w:tabs>
      <w:spacing w:before="86" w:after="180"/>
      <w:ind w:left="1588" w:hanging="397"/>
    </w:pPr>
    <w:rPr>
      <w:rFonts w:ascii="Times New Roman" w:hAnsi="Times New Roman"/>
      <w:lang w:val="en-US" w:eastAsia="en-GB"/>
    </w:rPr>
  </w:style>
  <w:style w:type="paragraph" w:customStyle="1" w:styleId="CouvRecTitle">
    <w:name w:val="Couv Rec Title"/>
    <w:basedOn w:val="Normal"/>
    <w:rsid w:val="00347092"/>
    <w:pPr>
      <w:keepNext/>
      <w:keepLines/>
      <w:spacing w:before="240" w:after="180"/>
      <w:ind w:left="1418"/>
      <w:jc w:val="left"/>
    </w:pPr>
    <w:rPr>
      <w:b/>
      <w:sz w:val="36"/>
      <w:lang w:val="en-US" w:eastAsia="en-GB"/>
    </w:rPr>
  </w:style>
  <w:style w:type="paragraph" w:styleId="PlainText">
    <w:name w:val="Plain Text"/>
    <w:basedOn w:val="Normal"/>
    <w:link w:val="PlainTextChar"/>
    <w:rsid w:val="00347092"/>
    <w:pPr>
      <w:spacing w:after="180"/>
      <w:jc w:val="left"/>
    </w:pPr>
    <w:rPr>
      <w:rFonts w:ascii="Courier New" w:hAnsi="Courier New"/>
      <w:lang w:val="nb-NO" w:eastAsia="ja-JP"/>
    </w:rPr>
  </w:style>
  <w:style w:type="character" w:customStyle="1" w:styleId="PlainTextChar">
    <w:name w:val="Plain Text Char"/>
    <w:basedOn w:val="DefaultParagraphFont"/>
    <w:link w:val="PlainText"/>
    <w:rsid w:val="00347092"/>
    <w:rPr>
      <w:rFonts w:ascii="Courier New" w:hAnsi="Courier New"/>
      <w:lang w:val="nb-NO" w:eastAsia="ja-JP"/>
    </w:rPr>
  </w:style>
  <w:style w:type="paragraph" w:customStyle="1" w:styleId="TAJ">
    <w:name w:val="TAJ"/>
    <w:basedOn w:val="TH"/>
    <w:rsid w:val="00347092"/>
    <w:rPr>
      <w:lang w:val="x-none" w:eastAsia="x-none"/>
    </w:rPr>
  </w:style>
  <w:style w:type="paragraph" w:customStyle="1" w:styleId="Guidance">
    <w:name w:val="Guidance"/>
    <w:basedOn w:val="Normal"/>
    <w:rsid w:val="00347092"/>
    <w:pPr>
      <w:spacing w:after="180"/>
      <w:jc w:val="left"/>
    </w:pPr>
    <w:rPr>
      <w:rFonts w:ascii="Times New Roman" w:hAnsi="Times New Roman"/>
      <w:i/>
      <w:color w:val="0000FF"/>
      <w:lang w:eastAsia="en-GB"/>
    </w:rPr>
  </w:style>
  <w:style w:type="table" w:styleId="TableGrid">
    <w:name w:val="Table Grid"/>
    <w:basedOn w:val="TableNormal"/>
    <w:rsid w:val="00347092"/>
    <w:pPr>
      <w:spacing w:after="180"/>
    </w:pPr>
    <w:rPr>
      <w:rFonts w:eastAsia="Batang"/>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47092"/>
    <w:pPr>
      <w:spacing w:after="180"/>
    </w:pPr>
    <w:rPr>
      <w:rFonts w:eastAsia="Batang"/>
      <w:lang w:val="de-DE" w:eastAsia="de-D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347092"/>
    <w:pPr>
      <w:ind w:left="426" w:hanging="426"/>
    </w:pPr>
    <w:rPr>
      <w:rFonts w:ascii="Times New Roman" w:hAnsi="Times New Roman"/>
      <w:sz w:val="22"/>
      <w:lang w:val="x-none"/>
    </w:rPr>
  </w:style>
  <w:style w:type="character" w:customStyle="1" w:styleId="BodyTextIndentChar">
    <w:name w:val="Body Text Indent Char"/>
    <w:basedOn w:val="DefaultParagraphFont"/>
    <w:link w:val="BodyTextIndent"/>
    <w:rsid w:val="00347092"/>
    <w:rPr>
      <w:rFonts w:ascii="Times New Roman" w:hAnsi="Times New Roman"/>
      <w:sz w:val="22"/>
      <w:lang w:val="x-none"/>
    </w:rPr>
  </w:style>
  <w:style w:type="paragraph" w:customStyle="1" w:styleId="Doc-text">
    <w:name w:val="Doc-text"/>
    <w:basedOn w:val="Normal"/>
    <w:link w:val="Doc-textChar"/>
    <w:rsid w:val="00347092"/>
    <w:pPr>
      <w:tabs>
        <w:tab w:val="num" w:pos="-3740"/>
        <w:tab w:val="num" w:pos="1620"/>
        <w:tab w:val="left" w:pos="2160"/>
        <w:tab w:val="left" w:pos="2700"/>
        <w:tab w:val="left" w:pos="3240"/>
      </w:tabs>
      <w:spacing w:after="0"/>
      <w:ind w:left="1620" w:hanging="360"/>
      <w:jc w:val="left"/>
    </w:pPr>
    <w:rPr>
      <w:rFonts w:eastAsia="MS Mincho"/>
      <w:bCs/>
      <w:szCs w:val="24"/>
      <w:lang w:eastAsia="en-GB"/>
    </w:rPr>
  </w:style>
  <w:style w:type="character" w:customStyle="1" w:styleId="Doc-textChar">
    <w:name w:val="Doc-text Char"/>
    <w:link w:val="Doc-text"/>
    <w:rsid w:val="00347092"/>
    <w:rPr>
      <w:rFonts w:ascii="Arial" w:eastAsia="MS Mincho" w:hAnsi="Arial"/>
      <w:bCs/>
      <w:szCs w:val="24"/>
      <w:lang w:val="en-GB" w:eastAsia="en-GB"/>
    </w:rPr>
  </w:style>
  <w:style w:type="paragraph" w:styleId="BodyText2">
    <w:name w:val="Body Text 2"/>
    <w:basedOn w:val="Normal"/>
    <w:link w:val="BodyText2Char"/>
    <w:rsid w:val="00347092"/>
    <w:pPr>
      <w:spacing w:after="0"/>
    </w:pPr>
    <w:rPr>
      <w:rFonts w:ascii="Times New Roman" w:hAnsi="Times New Roman"/>
      <w:sz w:val="24"/>
      <w:lang w:val="x-none" w:eastAsia="en-GB"/>
    </w:rPr>
  </w:style>
  <w:style w:type="character" w:customStyle="1" w:styleId="BodyText2Char">
    <w:name w:val="Body Text 2 Char"/>
    <w:basedOn w:val="DefaultParagraphFont"/>
    <w:link w:val="BodyText2"/>
    <w:rsid w:val="00347092"/>
    <w:rPr>
      <w:rFonts w:ascii="Times New Roman" w:hAnsi="Times New Roman"/>
      <w:sz w:val="24"/>
      <w:lang w:val="x-none" w:eastAsia="en-GB"/>
    </w:rPr>
  </w:style>
  <w:style w:type="character" w:styleId="Emphasis">
    <w:name w:val="Emphasis"/>
    <w:qFormat/>
    <w:rsid w:val="00347092"/>
    <w:rPr>
      <w:i/>
      <w:iCs/>
    </w:rPr>
  </w:style>
  <w:style w:type="paragraph" w:customStyle="1" w:styleId="B6">
    <w:name w:val="B6"/>
    <w:basedOn w:val="B5"/>
    <w:link w:val="B6Char"/>
    <w:rsid w:val="00347092"/>
    <w:pPr>
      <w:ind w:left="1985"/>
    </w:pPr>
    <w:rPr>
      <w:rFonts w:ascii="Times New Roman" w:hAnsi="Times New Roman"/>
      <w:lang w:eastAsia="ja-JP"/>
    </w:rPr>
  </w:style>
  <w:style w:type="character" w:customStyle="1" w:styleId="B6Char">
    <w:name w:val="B6 Char"/>
    <w:link w:val="B6"/>
    <w:rsid w:val="00347092"/>
    <w:rPr>
      <w:rFonts w:ascii="Times New Roman" w:hAnsi="Times New Roman"/>
      <w:lang w:val="en-GB" w:eastAsia="ja-JP"/>
    </w:rPr>
  </w:style>
  <w:style w:type="character" w:styleId="Strong">
    <w:name w:val="Strong"/>
    <w:uiPriority w:val="22"/>
    <w:qFormat/>
    <w:rsid w:val="00347092"/>
    <w:rPr>
      <w:b/>
      <w:bCs/>
    </w:rPr>
  </w:style>
  <w:style w:type="character" w:customStyle="1" w:styleId="ListParagraphChar">
    <w:name w:val="List Paragraph Char"/>
    <w:link w:val="ListParagraph"/>
    <w:uiPriority w:val="34"/>
    <w:locked/>
    <w:rsid w:val="00347092"/>
    <w:rPr>
      <w:rFonts w:ascii="Calibri" w:hAnsi="Calibri"/>
      <w:sz w:val="22"/>
      <w:szCs w:val="22"/>
      <w:lang w:eastAsia="en-US"/>
    </w:rPr>
  </w:style>
  <w:style w:type="paragraph" w:customStyle="1" w:styleId="B7">
    <w:name w:val="B7"/>
    <w:basedOn w:val="B6"/>
    <w:link w:val="B7Char"/>
    <w:rsid w:val="00347092"/>
    <w:pPr>
      <w:ind w:left="2269"/>
    </w:pPr>
  </w:style>
  <w:style w:type="character" w:customStyle="1" w:styleId="B7Char">
    <w:name w:val="B7 Char"/>
    <w:basedOn w:val="B6Char"/>
    <w:link w:val="B7"/>
    <w:rsid w:val="00347092"/>
    <w:rPr>
      <w:rFonts w:ascii="Times New Roman" w:hAnsi="Times New Roman"/>
      <w:lang w:val="en-GB" w:eastAsia="ja-JP"/>
    </w:rPr>
  </w:style>
  <w:style w:type="character" w:customStyle="1" w:styleId="comment-copy">
    <w:name w:val="comment-copy"/>
    <w:rsid w:val="00347092"/>
  </w:style>
  <w:style w:type="character" w:styleId="HTMLCode">
    <w:name w:val="HTML Code"/>
    <w:uiPriority w:val="99"/>
    <w:unhideWhenUsed/>
    <w:rsid w:val="00347092"/>
    <w:rPr>
      <w:rFonts w:ascii="Courier New" w:eastAsia="Times New Roman" w:hAnsi="Courier New" w:cs="Courier New"/>
      <w:sz w:val="20"/>
      <w:szCs w:val="20"/>
    </w:rPr>
  </w:style>
  <w:style w:type="paragraph" w:customStyle="1" w:styleId="EmailDiscussion">
    <w:name w:val="EmailDiscussion"/>
    <w:basedOn w:val="Normal"/>
    <w:next w:val="Doc-text2"/>
    <w:rsid w:val="00347092"/>
    <w:pPr>
      <w:numPr>
        <w:numId w:val="12"/>
      </w:numPr>
      <w:spacing w:before="40" w:after="0"/>
      <w:jc w:val="left"/>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3141433">
      <w:bodyDiv w:val="1"/>
      <w:marLeft w:val="0"/>
      <w:marRight w:val="0"/>
      <w:marTop w:val="0"/>
      <w:marBottom w:val="0"/>
      <w:divBdr>
        <w:top w:val="none" w:sz="0" w:space="0" w:color="auto"/>
        <w:left w:val="none" w:sz="0" w:space="0" w:color="auto"/>
        <w:bottom w:val="none" w:sz="0" w:space="0" w:color="auto"/>
        <w:right w:val="none" w:sz="0" w:space="0" w:color="auto"/>
      </w:divBdr>
    </w:div>
    <w:div w:id="481773574">
      <w:bodyDiv w:val="1"/>
      <w:marLeft w:val="0"/>
      <w:marRight w:val="0"/>
      <w:marTop w:val="0"/>
      <w:marBottom w:val="0"/>
      <w:divBdr>
        <w:top w:val="none" w:sz="0" w:space="0" w:color="auto"/>
        <w:left w:val="none" w:sz="0" w:space="0" w:color="auto"/>
        <w:bottom w:val="none" w:sz="0" w:space="0" w:color="auto"/>
        <w:right w:val="none" w:sz="0" w:space="0" w:color="auto"/>
      </w:divBdr>
    </w:div>
    <w:div w:id="535627875">
      <w:bodyDiv w:val="1"/>
      <w:marLeft w:val="0"/>
      <w:marRight w:val="0"/>
      <w:marTop w:val="0"/>
      <w:marBottom w:val="0"/>
      <w:divBdr>
        <w:top w:val="none" w:sz="0" w:space="0" w:color="auto"/>
        <w:left w:val="none" w:sz="0" w:space="0" w:color="auto"/>
        <w:bottom w:val="none" w:sz="0" w:space="0" w:color="auto"/>
        <w:right w:val="none" w:sz="0" w:space="0" w:color="auto"/>
      </w:divBdr>
    </w:div>
    <w:div w:id="589852427">
      <w:bodyDiv w:val="1"/>
      <w:marLeft w:val="0"/>
      <w:marRight w:val="0"/>
      <w:marTop w:val="0"/>
      <w:marBottom w:val="0"/>
      <w:divBdr>
        <w:top w:val="none" w:sz="0" w:space="0" w:color="auto"/>
        <w:left w:val="none" w:sz="0" w:space="0" w:color="auto"/>
        <w:bottom w:val="none" w:sz="0" w:space="0" w:color="auto"/>
        <w:right w:val="none" w:sz="0" w:space="0" w:color="auto"/>
      </w:divBdr>
    </w:div>
    <w:div w:id="941498243">
      <w:bodyDiv w:val="1"/>
      <w:marLeft w:val="0"/>
      <w:marRight w:val="0"/>
      <w:marTop w:val="0"/>
      <w:marBottom w:val="0"/>
      <w:divBdr>
        <w:top w:val="none" w:sz="0" w:space="0" w:color="auto"/>
        <w:left w:val="none" w:sz="0" w:space="0" w:color="auto"/>
        <w:bottom w:val="none" w:sz="0" w:space="0" w:color="auto"/>
        <w:right w:val="none" w:sz="0" w:space="0" w:color="auto"/>
      </w:divBdr>
    </w:div>
    <w:div w:id="1045568587">
      <w:bodyDiv w:val="1"/>
      <w:marLeft w:val="0"/>
      <w:marRight w:val="0"/>
      <w:marTop w:val="0"/>
      <w:marBottom w:val="0"/>
      <w:divBdr>
        <w:top w:val="none" w:sz="0" w:space="0" w:color="auto"/>
        <w:left w:val="none" w:sz="0" w:space="0" w:color="auto"/>
        <w:bottom w:val="none" w:sz="0" w:space="0" w:color="auto"/>
        <w:right w:val="none" w:sz="0" w:space="0" w:color="auto"/>
      </w:divBdr>
    </w:div>
    <w:div w:id="1250390691">
      <w:bodyDiv w:val="1"/>
      <w:marLeft w:val="0"/>
      <w:marRight w:val="0"/>
      <w:marTop w:val="0"/>
      <w:marBottom w:val="0"/>
      <w:divBdr>
        <w:top w:val="none" w:sz="0" w:space="0" w:color="auto"/>
        <w:left w:val="none" w:sz="0" w:space="0" w:color="auto"/>
        <w:bottom w:val="none" w:sz="0" w:space="0" w:color="auto"/>
        <w:right w:val="none" w:sz="0" w:space="0" w:color="auto"/>
      </w:divBdr>
    </w:div>
    <w:div w:id="1400976280">
      <w:bodyDiv w:val="1"/>
      <w:marLeft w:val="0"/>
      <w:marRight w:val="0"/>
      <w:marTop w:val="0"/>
      <w:marBottom w:val="0"/>
      <w:divBdr>
        <w:top w:val="none" w:sz="0" w:space="0" w:color="auto"/>
        <w:left w:val="none" w:sz="0" w:space="0" w:color="auto"/>
        <w:bottom w:val="none" w:sz="0" w:space="0" w:color="auto"/>
        <w:right w:val="none" w:sz="0" w:space="0" w:color="auto"/>
      </w:divBdr>
    </w:div>
    <w:div w:id="1578709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Value>
      <Value>9</Value>
      <Value>8</Value>
      <Value>3</Value>
      <Value>1</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_dlc_DocId xmlns="f166a696-7b5b-4ccd-9f0c-ffde0cceec81">5NUHHDQN7SK2-1476151046-15141</_dlc_DocId>
    <_dlc_DocIdUrl xmlns="f166a696-7b5b-4ccd-9f0c-ffde0cceec81">
      <Url>https://ericsson.sharepoint.com/sites/star/_layouts/15/DocIdRedir.aspx?ID=5NUHHDQN7SK2-1476151046-15141</Url>
      <Description>5NUHHDQN7SK2-1476151046-15141</Description>
    </_dlc_DocIdUrl>
    <_dlc_DocIdPersistId xmlns="f166a696-7b5b-4ccd-9f0c-ffde0cceec81" xsi:nil="true"/>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45" ma:contentTypeDescription="Create a new document." ma:contentTypeScope="" ma:versionID="c2292f762ee3c0f702c06eb2f4b3c170">
  <xsd:schema xmlns:xsd="http://www.w3.org/2001/XMLSchema" xmlns:xs="http://www.w3.org/2001/XMLSchema" xmlns:p="http://schemas.microsoft.com/office/2006/metadata/properties" xmlns:ns1="http://schemas.microsoft.com/sharepoint/v3" xmlns:ns2="f166a696-7b5b-4ccd-9f0c-ffde0cceec81" xmlns:ns3="d8762117-8292-4133-b1c7-eab5c6487cfd" targetNamespace="http://schemas.microsoft.com/office/2006/metadata/properties" ma:root="true" ma:fieldsID="e2c6d9397cba9cb869cbca7d09d5fa06" ns1:_="" ns2:_="" ns3:_="">
    <xsd:import namespace="http://schemas.microsoft.com/sharepoint/v3"/>
    <xsd:import namespace="f166a696-7b5b-4ccd-9f0c-ffde0cceec81"/>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6DA0BC-B595-48BF-82FE-5B97C3395148}">
  <ds:schemaRefs>
    <ds:schemaRef ds:uri="http://schemas.microsoft.com/sharepoint/events"/>
  </ds:schemaRefs>
</ds:datastoreItem>
</file>

<file path=customXml/itemProps2.xml><?xml version="1.0" encoding="utf-8"?>
<ds:datastoreItem xmlns:ds="http://schemas.openxmlformats.org/officeDocument/2006/customXml" ds:itemID="{A3DE9CDF-A3FB-4158-8710-2121026583C8}">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3"/>
  </ds:schemaRefs>
</ds:datastoreItem>
</file>

<file path=customXml/itemProps3.xml><?xml version="1.0" encoding="utf-8"?>
<ds:datastoreItem xmlns:ds="http://schemas.openxmlformats.org/officeDocument/2006/customXml" ds:itemID="{8B270D20-FA8B-4805-9874-1117CB67C44F}">
  <ds:schemaRefs>
    <ds:schemaRef ds:uri="http://schemas.microsoft.com/sharepoint/v3/contenttype/forms"/>
  </ds:schemaRefs>
</ds:datastoreItem>
</file>

<file path=customXml/itemProps4.xml><?xml version="1.0" encoding="utf-8"?>
<ds:datastoreItem xmlns:ds="http://schemas.openxmlformats.org/officeDocument/2006/customXml" ds:itemID="{643E3E3C-57B2-4372-9F42-784D51A6DF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901AC47-968A-4344-9530-FF438CFE0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1</TotalTime>
  <Pages>4</Pages>
  <Words>1257</Words>
  <Characters>7168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3</cp:revision>
  <cp:lastPrinted>2008-01-31T06:09:00Z</cp:lastPrinted>
  <dcterms:created xsi:type="dcterms:W3CDTF">2018-01-11T22:28:00Z</dcterms:created>
  <dcterms:modified xsi:type="dcterms:W3CDTF">2018-01-12T00:48:00Z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0x0101000A5832045C649C4FB0AB9A5D116E5EF3</vt:lpwstr>
  </property>
  <property fmtid="{D5CDD505-2E9C-101B-9397-08002B2CF9AE}" pid="4" name="EriCOLLProjects">
    <vt:lpwstr/>
  </property>
  <property fmtid="{D5CDD505-2E9C-101B-9397-08002B2CF9AE}" pid="5" name="EriCOLLOrganizationUnit">
    <vt:lpwstr>3;#GFTE ER WAN APMBB Deployments ＆ Spectrum|644d70e3-351b-4c06-8b80-4aa32d170e18</vt:lpwstr>
  </property>
  <property fmtid="{D5CDD505-2E9C-101B-9397-08002B2CF9AE}" pid="6" name="EriCOLLCategory">
    <vt:lpwstr>1;#Research|7f1f7aab-c784-40ec-8666-825d2ac7abef</vt:lpwstr>
  </property>
  <property fmtid="{D5CDD505-2E9C-101B-9397-08002B2CF9AE}" pid="7" name="TaxKeyword">
    <vt:lpwstr>1;#3GPP|6a3890dd-b3c6-4ee1-9283-043167dd414d;#2;#TDoc|b7cb4b2e-7c24-4f9d-967d-e29f765ecb8a;#3;#Ericsson|c60ff206-3dbb-4410-a86e-50fd188c386c</vt:lpwstr>
  </property>
  <property fmtid="{D5CDD505-2E9C-101B-9397-08002B2CF9AE}" pid="8" name="EriCOLLProducts">
    <vt:lpwstr/>
  </property>
  <property fmtid="{D5CDD505-2E9C-101B-9397-08002B2CF9AE}" pid="9" name="EriCOLLCustomer">
    <vt:lpwstr/>
  </property>
  <property fmtid="{D5CDD505-2E9C-101B-9397-08002B2CF9AE}" pid="10" name="EriCOLLCountry">
    <vt:lpwstr/>
  </property>
  <property fmtid="{D5CDD505-2E9C-101B-9397-08002B2CF9AE}" pid="11" name="EriCOLLCompetence">
    <vt:lpwstr/>
  </property>
  <property fmtid="{D5CDD505-2E9C-101B-9397-08002B2CF9AE}" pid="12" name="EriCOLLProcess">
    <vt:lpwstr/>
  </property>
  <property fmtid="{D5CDD505-2E9C-101B-9397-08002B2CF9AE}" pid="13" name="_dlc_DocIdItemGuid">
    <vt:lpwstr>0e8d0b25-fac5-4ee5-afed-e0ffe5b047a9</vt:lpwstr>
  </property>
  <property fmtid="{D5CDD505-2E9C-101B-9397-08002B2CF9AE}" pid="14" name="EriCOLLProjectsTaxHTField0">
    <vt:lpwstr/>
  </property>
  <property fmtid="{D5CDD505-2E9C-101B-9397-08002B2CF9AE}" pid="15" name="EriCOLLCategoryTaxHTField0">
    <vt:lpwstr>Research|7f1f7aab-c784-40ec-8666-825d2ac7abef</vt:lpwstr>
  </property>
  <property fmtid="{D5CDD505-2E9C-101B-9397-08002B2CF9AE}" pid="16" name="EriCOLLCompetenceTaxHTField0">
    <vt:lpwstr/>
  </property>
  <property fmtid="{D5CDD505-2E9C-101B-9397-08002B2CF9AE}" pid="17" name="EriCOLLOrganizationUnitTaxHTField0">
    <vt:lpwstr>GFTE ER WAN APMBB Deployments ＆ Spectrum|644d70e3-351b-4c06-8b80-4aa32d170e18</vt:lpwstr>
  </property>
  <property fmtid="{D5CDD505-2E9C-101B-9397-08002B2CF9AE}" pid="18" name="EriCOLLCustomerTaxHTField0">
    <vt:lpwstr/>
  </property>
  <property fmtid="{D5CDD505-2E9C-101B-9397-08002B2CF9AE}" pid="19" name="EriCOLLCountryTaxHTField0">
    <vt:lpwstr/>
  </property>
  <property fmtid="{D5CDD505-2E9C-101B-9397-08002B2CF9AE}" pid="20" name="EriCOLLProcessTaxHTField0">
    <vt:lpwstr/>
  </property>
  <property fmtid="{D5CDD505-2E9C-101B-9397-08002B2CF9AE}" pid="21" name="EriCOLLProductsTaxHTField0">
    <vt:lpwstr/>
  </property>
</Properties>
</file>